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4A" w:rsidRPr="0052381A" w:rsidRDefault="00A54630" w:rsidP="00A54630">
      <w:pPr>
        <w:rPr>
          <w:b/>
          <w:sz w:val="28"/>
          <w:szCs w:val="28"/>
        </w:rPr>
      </w:pPr>
      <w:r w:rsidRPr="0052381A">
        <w:rPr>
          <w:b/>
          <w:noProof/>
          <w:sz w:val="28"/>
          <w:szCs w:val="28"/>
        </w:rPr>
        <w:t>Co</w:t>
      </w:r>
      <w:r w:rsidR="00A945E8">
        <w:rPr>
          <w:b/>
          <w:noProof/>
          <w:sz w:val="28"/>
          <w:szCs w:val="28"/>
        </w:rPr>
        <w:t>r</w:t>
      </w:r>
      <w:r w:rsidR="0050400A" w:rsidRPr="0052381A">
        <w:rPr>
          <w:b/>
          <w:noProof/>
          <w:sz w:val="28"/>
          <w:szCs w:val="28"/>
        </w:rPr>
        <w:t>ridors of Opportunity Community</w:t>
      </w:r>
      <w:r w:rsidRPr="0052381A">
        <w:rPr>
          <w:b/>
          <w:noProof/>
          <w:sz w:val="28"/>
          <w:szCs w:val="28"/>
        </w:rPr>
        <w:t xml:space="preserve"> Engagement Grant Fact Sheet</w:t>
      </w:r>
    </w:p>
    <w:p w:rsidR="0052381A" w:rsidRDefault="0052381A" w:rsidP="002D0C4A">
      <w:pPr>
        <w:pStyle w:val="Default"/>
        <w:rPr>
          <w:rFonts w:asciiTheme="minorHAnsi" w:hAnsiTheme="minorHAnsi"/>
          <w:b/>
          <w:sz w:val="21"/>
          <w:szCs w:val="21"/>
        </w:rPr>
      </w:pPr>
    </w:p>
    <w:p w:rsidR="00A54630" w:rsidRPr="00A54630" w:rsidRDefault="00A54630" w:rsidP="002D0C4A">
      <w:pPr>
        <w:pStyle w:val="Default"/>
        <w:rPr>
          <w:rFonts w:asciiTheme="minorHAnsi" w:hAnsiTheme="minorHAnsi"/>
          <w:b/>
          <w:sz w:val="21"/>
          <w:szCs w:val="21"/>
        </w:rPr>
      </w:pPr>
      <w:r w:rsidRPr="00A54630">
        <w:rPr>
          <w:rFonts w:asciiTheme="minorHAnsi" w:hAnsiTheme="minorHAnsi"/>
          <w:b/>
          <w:sz w:val="21"/>
          <w:szCs w:val="21"/>
        </w:rPr>
        <w:t>What is Corridors of Opportunity?</w:t>
      </w:r>
    </w:p>
    <w:p w:rsidR="00A54630" w:rsidRPr="00A54630" w:rsidRDefault="00A54630" w:rsidP="002D0C4A">
      <w:pPr>
        <w:pStyle w:val="Default"/>
        <w:rPr>
          <w:rFonts w:asciiTheme="minorHAnsi" w:hAnsiTheme="minorHAnsi"/>
          <w:sz w:val="21"/>
          <w:szCs w:val="21"/>
        </w:rPr>
      </w:pPr>
    </w:p>
    <w:p w:rsidR="002D0C4A" w:rsidRPr="00A54630" w:rsidRDefault="002D0C4A" w:rsidP="002D0C4A">
      <w:pPr>
        <w:pStyle w:val="Default"/>
        <w:rPr>
          <w:rFonts w:asciiTheme="minorHAnsi" w:hAnsiTheme="minorHAnsi"/>
          <w:sz w:val="22"/>
          <w:szCs w:val="22"/>
        </w:rPr>
      </w:pPr>
      <w:r w:rsidRPr="00A54630">
        <w:rPr>
          <w:rFonts w:asciiTheme="minorHAnsi" w:hAnsiTheme="minorHAnsi"/>
          <w:sz w:val="22"/>
          <w:szCs w:val="22"/>
        </w:rPr>
        <w:t xml:space="preserve">“Corridors of Opportunity” is an initiative to promote sustainable, vibrant, and healthy communities in the Twin Cities region, using the region’s emerging </w:t>
      </w:r>
      <w:proofErr w:type="spellStart"/>
      <w:r w:rsidRPr="00A54630">
        <w:rPr>
          <w:rFonts w:asciiTheme="minorHAnsi" w:hAnsiTheme="minorHAnsi"/>
          <w:sz w:val="22"/>
          <w:szCs w:val="22"/>
        </w:rPr>
        <w:t>transitway</w:t>
      </w:r>
      <w:proofErr w:type="spellEnd"/>
      <w:r w:rsidRPr="00A54630">
        <w:rPr>
          <w:rFonts w:asciiTheme="minorHAnsi" w:hAnsiTheme="minorHAnsi"/>
          <w:sz w:val="22"/>
          <w:szCs w:val="22"/>
        </w:rPr>
        <w:t xml:space="preserve"> system as a development focus. </w:t>
      </w:r>
      <w:proofErr w:type="gramStart"/>
      <w:r w:rsidRPr="00A54630">
        <w:rPr>
          <w:rFonts w:asciiTheme="minorHAnsi" w:hAnsiTheme="minorHAnsi"/>
          <w:sz w:val="22"/>
          <w:szCs w:val="22"/>
        </w:rPr>
        <w:t>The initiative, which will run from 2011 through</w:t>
      </w:r>
      <w:r w:rsidR="00A54630" w:rsidRPr="00A54630">
        <w:rPr>
          <w:rFonts w:asciiTheme="minorHAnsi" w:hAnsiTheme="minorHAnsi"/>
          <w:sz w:val="22"/>
          <w:szCs w:val="22"/>
        </w:rPr>
        <w:t xml:space="preserve"> 2013, and is </w:t>
      </w:r>
      <w:r w:rsidR="0068247F" w:rsidRPr="00A54630">
        <w:rPr>
          <w:rFonts w:asciiTheme="minorHAnsi" w:hAnsiTheme="minorHAnsi"/>
          <w:sz w:val="22"/>
          <w:szCs w:val="22"/>
        </w:rPr>
        <w:t xml:space="preserve">funded </w:t>
      </w:r>
      <w:r w:rsidR="00A54630" w:rsidRPr="00A54630">
        <w:rPr>
          <w:rFonts w:asciiTheme="minorHAnsi" w:hAnsiTheme="minorHAnsi"/>
          <w:sz w:val="22"/>
          <w:szCs w:val="22"/>
        </w:rPr>
        <w:t>th</w:t>
      </w:r>
      <w:r w:rsidR="0068247F">
        <w:rPr>
          <w:rFonts w:asciiTheme="minorHAnsi" w:hAnsiTheme="minorHAnsi"/>
          <w:sz w:val="22"/>
          <w:szCs w:val="22"/>
        </w:rPr>
        <w:t>r</w:t>
      </w:r>
      <w:r w:rsidR="00A54630" w:rsidRPr="00A54630">
        <w:rPr>
          <w:rFonts w:asciiTheme="minorHAnsi" w:hAnsiTheme="minorHAnsi"/>
          <w:sz w:val="22"/>
          <w:szCs w:val="22"/>
        </w:rPr>
        <w:t xml:space="preserve">ough the U.S. </w:t>
      </w:r>
      <w:r w:rsidR="0050400A" w:rsidRPr="00A54630">
        <w:rPr>
          <w:rFonts w:asciiTheme="minorHAnsi" w:hAnsiTheme="minorHAnsi"/>
          <w:sz w:val="22"/>
          <w:szCs w:val="22"/>
        </w:rPr>
        <w:t>Department</w:t>
      </w:r>
      <w:r w:rsidR="00A54630" w:rsidRPr="00A54630">
        <w:rPr>
          <w:rFonts w:asciiTheme="minorHAnsi" w:hAnsiTheme="minorHAnsi"/>
          <w:sz w:val="22"/>
          <w:szCs w:val="22"/>
        </w:rPr>
        <w:t xml:space="preserve"> of Housing and Urban Development, and the Living Cities collaborative.</w:t>
      </w:r>
      <w:proofErr w:type="gramEnd"/>
    </w:p>
    <w:p w:rsidR="002D0C4A" w:rsidRPr="00A54630" w:rsidRDefault="002D0C4A" w:rsidP="002D0C4A">
      <w:pPr>
        <w:pStyle w:val="Default"/>
        <w:rPr>
          <w:rFonts w:asciiTheme="minorHAnsi" w:hAnsiTheme="minorHAnsi"/>
          <w:sz w:val="22"/>
          <w:szCs w:val="22"/>
        </w:rPr>
      </w:pPr>
    </w:p>
    <w:p w:rsidR="002D0C4A" w:rsidRPr="00A54630" w:rsidRDefault="002D0C4A" w:rsidP="002D0C4A">
      <w:pPr>
        <w:pStyle w:val="Default"/>
        <w:rPr>
          <w:rFonts w:asciiTheme="minorHAnsi" w:hAnsiTheme="minorHAnsi"/>
          <w:sz w:val="22"/>
          <w:szCs w:val="22"/>
        </w:rPr>
      </w:pPr>
      <w:r w:rsidRPr="00A54630">
        <w:rPr>
          <w:rFonts w:asciiTheme="minorHAnsi" w:hAnsiTheme="minorHAnsi"/>
          <w:sz w:val="22"/>
          <w:szCs w:val="22"/>
        </w:rPr>
        <w:t xml:space="preserve">Expanding the transit system is a foundation for connecting and growing the region. True success will depend on how well the new transit system creates opportunities for the region as a whole, while unlocking opportunities for those with the greatest need. </w:t>
      </w:r>
    </w:p>
    <w:p w:rsidR="002D0C4A" w:rsidRPr="00A54630" w:rsidRDefault="002D0C4A" w:rsidP="002D0C4A">
      <w:pPr>
        <w:pStyle w:val="Default"/>
        <w:rPr>
          <w:rFonts w:asciiTheme="minorHAnsi" w:hAnsiTheme="minorHAnsi"/>
          <w:sz w:val="22"/>
          <w:szCs w:val="22"/>
        </w:rPr>
      </w:pPr>
    </w:p>
    <w:p w:rsidR="002D0C4A" w:rsidRPr="00A54630" w:rsidRDefault="002D0C4A">
      <w:pPr>
        <w:rPr>
          <w:noProof/>
        </w:rPr>
      </w:pPr>
      <w:r w:rsidRPr="00A54630">
        <w:t xml:space="preserve">“Corridors of Opportunity” funds projects in 7 corridors within the system of existing and planned </w:t>
      </w:r>
      <w:proofErr w:type="spellStart"/>
      <w:r w:rsidRPr="00A54630">
        <w:t>transitways</w:t>
      </w:r>
      <w:proofErr w:type="spellEnd"/>
      <w:r w:rsidRPr="00A54630">
        <w:t xml:space="preserve"> in the region: Southwest LRT, Bottineau </w:t>
      </w:r>
      <w:proofErr w:type="spellStart"/>
      <w:r w:rsidRPr="00A54630">
        <w:t>Transitway</w:t>
      </w:r>
      <w:proofErr w:type="spellEnd"/>
      <w:r w:rsidRPr="00A54630">
        <w:t xml:space="preserve">, Gateway Corridor, Cedar Avenue BRT, Central Corridor, Hiawatha LRT, and </w:t>
      </w:r>
      <w:proofErr w:type="spellStart"/>
      <w:r w:rsidRPr="00A54630">
        <w:t>Northstar</w:t>
      </w:r>
      <w:proofErr w:type="spellEnd"/>
      <w:r w:rsidRPr="00A54630">
        <w:t xml:space="preserve"> Commuter Rail.</w:t>
      </w:r>
    </w:p>
    <w:p w:rsidR="002D0C4A" w:rsidRDefault="002D0C4A">
      <w:r w:rsidRPr="002D0C4A">
        <w:rPr>
          <w:noProof/>
        </w:rPr>
        <w:drawing>
          <wp:inline distT="0" distB="0" distL="0" distR="0">
            <wp:extent cx="5943600" cy="383751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3837511"/>
                    </a:xfrm>
                    <a:prstGeom prst="rect">
                      <a:avLst/>
                    </a:prstGeom>
                    <a:noFill/>
                    <a:ln w="9525">
                      <a:noFill/>
                      <a:miter lim="800000"/>
                      <a:headEnd/>
                      <a:tailEnd/>
                    </a:ln>
                  </pic:spPr>
                </pic:pic>
              </a:graphicData>
            </a:graphic>
          </wp:inline>
        </w:drawing>
      </w:r>
    </w:p>
    <w:p w:rsidR="00A54630" w:rsidRPr="00A54630" w:rsidRDefault="00A54630">
      <w:pPr>
        <w:rPr>
          <w:b/>
        </w:rPr>
      </w:pPr>
      <w:r w:rsidRPr="00A54630">
        <w:rPr>
          <w:b/>
        </w:rPr>
        <w:t>What is the Community Engagement Team?</w:t>
      </w:r>
    </w:p>
    <w:p w:rsidR="00A54630" w:rsidRPr="00A54630" w:rsidRDefault="00A54630" w:rsidP="00A54630">
      <w:pPr>
        <w:widowControl w:val="0"/>
        <w:autoSpaceDE w:val="0"/>
        <w:autoSpaceDN w:val="0"/>
        <w:adjustRightInd w:val="0"/>
        <w:rPr>
          <w:color w:val="231F20"/>
          <w:szCs w:val="16"/>
        </w:rPr>
      </w:pPr>
      <w:r w:rsidRPr="00A54630">
        <w:t xml:space="preserve">As part of this initiative, a Community Engagement Team (CET) was formed to identify, develop and support targeted strategies that engage underrepresented communities in planning, decision-making and implementation processes on and around transit-oriented corridors. </w:t>
      </w:r>
      <w:r w:rsidR="00EB1BFD">
        <w:t xml:space="preserve">The CET is made up of three organizations: The Alliance for Metropolitan Stability, Nexus Community Partners, and Minnesota </w:t>
      </w:r>
      <w:r w:rsidR="00EB1BFD">
        <w:lastRenderedPageBreak/>
        <w:t xml:space="preserve">Center for Neighborhood Organizing.  </w:t>
      </w:r>
      <w:r w:rsidRPr="00A54630">
        <w:t xml:space="preserve">The </w:t>
      </w:r>
      <w:r w:rsidR="00147820" w:rsidRPr="00A54630">
        <w:t>CET</w:t>
      </w:r>
      <w:r w:rsidR="00147820">
        <w:t>’s work</w:t>
      </w:r>
      <w:r w:rsidR="00EB1BFD">
        <w:t xml:space="preserve"> </w:t>
      </w:r>
      <w:r w:rsidR="00147820">
        <w:t xml:space="preserve">is </w:t>
      </w:r>
      <w:r w:rsidR="00147820" w:rsidRPr="00A54630">
        <w:t>focused</w:t>
      </w:r>
      <w:r w:rsidRPr="00A54630">
        <w:t xml:space="preserve"> on </w:t>
      </w:r>
      <w:r w:rsidR="00872BDC">
        <w:t xml:space="preserve">supporting </w:t>
      </w:r>
      <w:r w:rsidRPr="00A54630">
        <w:t>low-income populations, communities of color</w:t>
      </w:r>
      <w:r w:rsidR="0068247F">
        <w:t xml:space="preserve">, new immigrants, </w:t>
      </w:r>
      <w:r w:rsidRPr="00A54630">
        <w:t>the disability community</w:t>
      </w:r>
      <w:r w:rsidR="0068247F">
        <w:t xml:space="preserve"> and other cultural communities.</w:t>
      </w:r>
    </w:p>
    <w:p w:rsidR="00A54630" w:rsidRPr="00A54630" w:rsidRDefault="00A54630">
      <w:pPr>
        <w:rPr>
          <w:b/>
        </w:rPr>
      </w:pPr>
      <w:r w:rsidRPr="00A54630">
        <w:rPr>
          <w:b/>
        </w:rPr>
        <w:t>What is the Community Engagement Grant Opportunity?</w:t>
      </w:r>
    </w:p>
    <w:p w:rsidR="00BB7ACC" w:rsidRDefault="00A54630">
      <w:pPr>
        <w:rPr>
          <w:rStyle w:val="normal-text"/>
          <w:sz w:val="23"/>
        </w:rPr>
      </w:pPr>
      <w:r w:rsidRPr="00ED338C">
        <w:rPr>
          <w:rStyle w:val="normal-text"/>
          <w:sz w:val="23"/>
        </w:rPr>
        <w:t xml:space="preserve">The Corridors of Opportunity Outreach and Engagement grants support innovative and effective placed-based initiatives that engage and involve underrepresented communities </w:t>
      </w:r>
      <w:r w:rsidR="007C34D0">
        <w:rPr>
          <w:rStyle w:val="normal-text"/>
          <w:sz w:val="23"/>
        </w:rPr>
        <w:t>(low-income, communities of color, immigrant communities, persons with disabilities</w:t>
      </w:r>
      <w:r w:rsidR="0068247F">
        <w:rPr>
          <w:rStyle w:val="normal-text"/>
          <w:sz w:val="23"/>
        </w:rPr>
        <w:t xml:space="preserve"> and other cultural communities</w:t>
      </w:r>
      <w:r w:rsidR="007C34D0">
        <w:rPr>
          <w:rStyle w:val="normal-text"/>
          <w:sz w:val="23"/>
        </w:rPr>
        <w:t xml:space="preserve">) </w:t>
      </w:r>
      <w:r w:rsidRPr="00ED338C">
        <w:rPr>
          <w:rStyle w:val="normal-text"/>
          <w:sz w:val="23"/>
        </w:rPr>
        <w:t>in participation, decision-making, and leadership roles around transit</w:t>
      </w:r>
      <w:r>
        <w:rPr>
          <w:rStyle w:val="normal-text"/>
          <w:sz w:val="23"/>
        </w:rPr>
        <w:t xml:space="preserve"> corridor </w:t>
      </w:r>
      <w:r w:rsidRPr="00ED338C">
        <w:rPr>
          <w:rStyle w:val="normal-text"/>
          <w:sz w:val="23"/>
        </w:rPr>
        <w:t xml:space="preserve">planning and implementation.  </w:t>
      </w:r>
      <w:r>
        <w:rPr>
          <w:rStyle w:val="normal-text"/>
          <w:sz w:val="23"/>
        </w:rPr>
        <w:t>This funding does not replace existing efforts, but is intended to supplement them with increased</w:t>
      </w:r>
      <w:r w:rsidR="00BB7ACC">
        <w:rPr>
          <w:rStyle w:val="normal-text"/>
          <w:sz w:val="23"/>
        </w:rPr>
        <w:t xml:space="preserve"> targeted</w:t>
      </w:r>
      <w:r>
        <w:rPr>
          <w:rStyle w:val="normal-text"/>
          <w:sz w:val="23"/>
        </w:rPr>
        <w:t xml:space="preserve"> </w:t>
      </w:r>
      <w:r w:rsidR="00BB7ACC">
        <w:rPr>
          <w:rStyle w:val="normal-text"/>
          <w:sz w:val="23"/>
        </w:rPr>
        <w:t xml:space="preserve">community building </w:t>
      </w:r>
      <w:r>
        <w:rPr>
          <w:rStyle w:val="normal-text"/>
          <w:sz w:val="23"/>
        </w:rPr>
        <w:t>capacity.</w:t>
      </w:r>
      <w:r w:rsidR="007C34D0">
        <w:rPr>
          <w:rStyle w:val="normal-text"/>
          <w:sz w:val="23"/>
        </w:rPr>
        <w:t xml:space="preserve">  </w:t>
      </w:r>
    </w:p>
    <w:p w:rsidR="000C3653" w:rsidRPr="00365E70" w:rsidRDefault="000C3653" w:rsidP="00BB7ACC">
      <w:pPr>
        <w:rPr>
          <w:rStyle w:val="normal-text"/>
          <w:b/>
          <w:i/>
          <w:sz w:val="23"/>
        </w:rPr>
      </w:pPr>
      <w:r>
        <w:rPr>
          <w:rStyle w:val="normal-text"/>
          <w:sz w:val="23"/>
        </w:rPr>
        <w:t xml:space="preserve">The </w:t>
      </w:r>
      <w:r w:rsidR="00BB7ACC">
        <w:rPr>
          <w:rStyle w:val="normal-text"/>
          <w:sz w:val="23"/>
        </w:rPr>
        <w:t>grants</w:t>
      </w:r>
      <w:r>
        <w:rPr>
          <w:rStyle w:val="normal-text"/>
          <w:sz w:val="23"/>
        </w:rPr>
        <w:t xml:space="preserve"> for capacity building will be targeted at smaller organizations or organizations that are trying to build their capacity to engage in transit corridor issues. </w:t>
      </w:r>
      <w:r w:rsidR="00BB7ACC" w:rsidRPr="00BB7ACC">
        <w:rPr>
          <w:rStyle w:val="normal-text"/>
          <w:b/>
          <w:sz w:val="23"/>
        </w:rPr>
        <w:t>The maximum grant amount is $10,000</w:t>
      </w:r>
      <w:r w:rsidR="006F4A3E">
        <w:rPr>
          <w:rStyle w:val="normal-text"/>
          <w:b/>
          <w:sz w:val="23"/>
        </w:rPr>
        <w:t xml:space="preserve"> and only</w:t>
      </w:r>
      <w:bookmarkStart w:id="0" w:name="_GoBack"/>
      <w:bookmarkEnd w:id="0"/>
      <w:r w:rsidR="006F4A3E">
        <w:rPr>
          <w:rStyle w:val="normal-text"/>
          <w:b/>
          <w:sz w:val="23"/>
        </w:rPr>
        <w:t xml:space="preserve"> 5-7 grants will be awarded</w:t>
      </w:r>
      <w:r w:rsidR="00BB7ACC" w:rsidRPr="00BB7ACC">
        <w:rPr>
          <w:rStyle w:val="normal-text"/>
          <w:b/>
          <w:sz w:val="23"/>
        </w:rPr>
        <w:t>.</w:t>
      </w:r>
      <w:r w:rsidRPr="00BB7ACC">
        <w:rPr>
          <w:rStyle w:val="normal-text"/>
          <w:b/>
          <w:sz w:val="23"/>
        </w:rPr>
        <w:t xml:space="preserve"> </w:t>
      </w:r>
      <w:r w:rsidR="00365E70" w:rsidRPr="00365E70">
        <w:rPr>
          <w:rStyle w:val="normal-text"/>
          <w:b/>
          <w:i/>
          <w:sz w:val="23"/>
        </w:rPr>
        <w:t>Only organizations who HAVE NOT received CET funding in the past are eligible to apply.</w:t>
      </w:r>
    </w:p>
    <w:p w:rsidR="00EB1BFD" w:rsidRPr="00872BDC" w:rsidRDefault="00C37707">
      <w:pPr>
        <w:rPr>
          <w:rStyle w:val="normal-text"/>
          <w:b/>
          <w:sz w:val="23"/>
        </w:rPr>
      </w:pPr>
      <w:r w:rsidRPr="00C37707">
        <w:rPr>
          <w:rStyle w:val="normal-text"/>
          <w:b/>
          <w:sz w:val="23"/>
        </w:rPr>
        <w:t>Where does the money come from?</w:t>
      </w:r>
    </w:p>
    <w:p w:rsidR="00BB7ACC" w:rsidRDefault="00BB7ACC" w:rsidP="00BB7ACC">
      <w:pPr>
        <w:pStyle w:val="Body1"/>
        <w:rPr>
          <w:rStyle w:val="normal-text"/>
          <w:sz w:val="23"/>
        </w:rPr>
      </w:pPr>
      <w:r w:rsidRPr="007A57D5">
        <w:rPr>
          <w:rStyle w:val="normal-text"/>
          <w:rFonts w:asciiTheme="minorHAnsi" w:hAnsiTheme="minorHAnsi"/>
          <w:sz w:val="23"/>
        </w:rPr>
        <w:t xml:space="preserve">The funding for </w:t>
      </w:r>
      <w:r>
        <w:rPr>
          <w:rStyle w:val="normal-text"/>
          <w:rFonts w:asciiTheme="minorHAnsi" w:hAnsiTheme="minorHAnsi"/>
          <w:sz w:val="23"/>
        </w:rPr>
        <w:t xml:space="preserve">the third round of </w:t>
      </w:r>
      <w:r w:rsidRPr="007A57D5">
        <w:rPr>
          <w:rStyle w:val="normal-text"/>
          <w:rFonts w:asciiTheme="minorHAnsi" w:hAnsiTheme="minorHAnsi"/>
          <w:sz w:val="23"/>
        </w:rPr>
        <w:t xml:space="preserve">grants is from the </w:t>
      </w:r>
      <w:r>
        <w:rPr>
          <w:rStyle w:val="normal-text"/>
          <w:rFonts w:asciiTheme="minorHAnsi" w:hAnsiTheme="minorHAnsi"/>
          <w:sz w:val="23"/>
        </w:rPr>
        <w:t>McKnight Foundation</w:t>
      </w:r>
      <w:r w:rsidRPr="007A57D5">
        <w:rPr>
          <w:rStyle w:val="normal-text"/>
          <w:rFonts w:asciiTheme="minorHAnsi" w:hAnsiTheme="minorHAnsi"/>
          <w:sz w:val="23"/>
        </w:rPr>
        <w:t xml:space="preserve">.  The money will come through </w:t>
      </w:r>
      <w:r>
        <w:rPr>
          <w:rStyle w:val="normal-text"/>
          <w:rFonts w:asciiTheme="minorHAnsi" w:hAnsiTheme="minorHAnsi"/>
          <w:sz w:val="23"/>
        </w:rPr>
        <w:t xml:space="preserve">Nexus Community Partners, with support from the other members of the CET (Alliance for Metropolitan Stability and MN Center for Neighborhood Organizing). </w:t>
      </w:r>
    </w:p>
    <w:p w:rsidR="00A54630" w:rsidRPr="00A54630" w:rsidRDefault="00A54630">
      <w:pPr>
        <w:rPr>
          <w:rStyle w:val="normal-text"/>
          <w:b/>
          <w:sz w:val="23"/>
        </w:rPr>
      </w:pPr>
      <w:r w:rsidRPr="00A54630">
        <w:rPr>
          <w:rStyle w:val="normal-text"/>
          <w:b/>
          <w:sz w:val="23"/>
        </w:rPr>
        <w:t>What kinds of activities are eligible for funding?</w:t>
      </w:r>
    </w:p>
    <w:p w:rsidR="0058508F" w:rsidRDefault="00A54630" w:rsidP="00A54630">
      <w:r>
        <w:t xml:space="preserve">Expenditures for work that engages underrepresented constituencies </w:t>
      </w:r>
      <w:r w:rsidR="00342202">
        <w:t xml:space="preserve">to identify </w:t>
      </w:r>
      <w:r>
        <w:t xml:space="preserve">issues of </w:t>
      </w:r>
      <w:r w:rsidR="00342202">
        <w:t xml:space="preserve">community </w:t>
      </w:r>
      <w:r>
        <w:t xml:space="preserve">importance related to transit </w:t>
      </w:r>
      <w:r w:rsidR="007C34D0">
        <w:t xml:space="preserve">corridor development and planning, such as </w:t>
      </w:r>
      <w:r>
        <w:t>affordable housing, job opportunities, workforce development, economic development and capacity building</w:t>
      </w:r>
      <w:r w:rsidR="00342202">
        <w:t>, and involve people from underrepresented constituencies in decision-making and leadership in transit corridor planning and implementation</w:t>
      </w:r>
      <w:r w:rsidR="0058508F">
        <w:t>.</w:t>
      </w:r>
    </w:p>
    <w:p w:rsidR="00A54630" w:rsidRDefault="00A54630" w:rsidP="00A54630">
      <w:r>
        <w:t xml:space="preserve">Examples of eligible expenses: </w:t>
      </w:r>
    </w:p>
    <w:p w:rsidR="007C34D0" w:rsidRDefault="007C34D0" w:rsidP="007C34D0">
      <w:pPr>
        <w:pStyle w:val="ListParagraph"/>
        <w:numPr>
          <w:ilvl w:val="0"/>
          <w:numId w:val="1"/>
        </w:numPr>
        <w:spacing w:after="0"/>
      </w:pPr>
      <w:r>
        <w:t>Personnel</w:t>
      </w:r>
    </w:p>
    <w:p w:rsidR="00A54630" w:rsidRDefault="00A54630" w:rsidP="00A54630">
      <w:pPr>
        <w:pStyle w:val="ListParagraph"/>
        <w:numPr>
          <w:ilvl w:val="0"/>
          <w:numId w:val="1"/>
        </w:numPr>
        <w:spacing w:after="0"/>
      </w:pPr>
      <w:r>
        <w:t>Partner organizations whose work is detailed in the grant application</w:t>
      </w:r>
    </w:p>
    <w:p w:rsidR="00A54630" w:rsidRDefault="00A54630" w:rsidP="00A54630">
      <w:pPr>
        <w:pStyle w:val="ListParagraph"/>
        <w:numPr>
          <w:ilvl w:val="0"/>
          <w:numId w:val="1"/>
        </w:numPr>
        <w:spacing w:after="0"/>
      </w:pPr>
      <w:r>
        <w:t>Meeting support (space, childcare, food, transport, rental of communication equipment)</w:t>
      </w:r>
    </w:p>
    <w:p w:rsidR="00A54630" w:rsidRDefault="00A54630" w:rsidP="00A54630">
      <w:pPr>
        <w:pStyle w:val="ListParagraph"/>
        <w:numPr>
          <w:ilvl w:val="0"/>
          <w:numId w:val="1"/>
        </w:numPr>
        <w:spacing w:after="0"/>
      </w:pPr>
      <w:r>
        <w:t>Communication tools</w:t>
      </w:r>
      <w:r w:rsidR="007C34D0">
        <w:t xml:space="preserve"> including translation services </w:t>
      </w:r>
    </w:p>
    <w:p w:rsidR="00A54630" w:rsidRDefault="00A54630" w:rsidP="00A54630">
      <w:pPr>
        <w:pStyle w:val="ListParagraph"/>
        <w:numPr>
          <w:ilvl w:val="0"/>
          <w:numId w:val="1"/>
        </w:numPr>
        <w:spacing w:after="0"/>
      </w:pPr>
      <w:r>
        <w:t xml:space="preserve">Tours of the corridor for constituencies  </w:t>
      </w:r>
    </w:p>
    <w:p w:rsidR="00A54630" w:rsidRDefault="00A54630" w:rsidP="00A54630">
      <w:pPr>
        <w:pStyle w:val="ListParagraph"/>
        <w:numPr>
          <w:ilvl w:val="0"/>
          <w:numId w:val="1"/>
        </w:numPr>
        <w:spacing w:after="0"/>
      </w:pPr>
      <w:r>
        <w:t xml:space="preserve">Local travel expenses (bus, bicycle, gas) </w:t>
      </w:r>
    </w:p>
    <w:p w:rsidR="000A0DDB" w:rsidRPr="00BB7ACC" w:rsidRDefault="007A57D5" w:rsidP="00A54630">
      <w:pPr>
        <w:pStyle w:val="ListParagraph"/>
        <w:numPr>
          <w:ilvl w:val="0"/>
          <w:numId w:val="1"/>
        </w:numPr>
        <w:spacing w:after="0"/>
      </w:pPr>
      <w:r w:rsidRPr="007A57D5">
        <w:rPr>
          <w:rFonts w:eastAsia="Arial Unicode MS" w:cs="Times New Roman"/>
          <w:color w:val="000000"/>
          <w:u w:color="000000"/>
        </w:rPr>
        <w:t xml:space="preserve">Education and training </w:t>
      </w:r>
    </w:p>
    <w:p w:rsidR="002078A3" w:rsidRDefault="002078A3">
      <w:pPr>
        <w:pStyle w:val="ListParagraph"/>
        <w:spacing w:after="0"/>
      </w:pPr>
    </w:p>
    <w:p w:rsidR="00A54630" w:rsidRDefault="00A54630" w:rsidP="00A54630">
      <w:r>
        <w:t xml:space="preserve">Examples of ineligible expenses: </w:t>
      </w:r>
    </w:p>
    <w:p w:rsidR="00A54630" w:rsidRDefault="00A54630" w:rsidP="00A54630">
      <w:pPr>
        <w:pStyle w:val="ListParagraph"/>
        <w:numPr>
          <w:ilvl w:val="0"/>
          <w:numId w:val="3"/>
        </w:numPr>
        <w:spacing w:after="0"/>
      </w:pPr>
      <w:r>
        <w:t xml:space="preserve">Capital purchases </w:t>
      </w:r>
    </w:p>
    <w:p w:rsidR="00A54630" w:rsidRDefault="00A54630" w:rsidP="00A54630">
      <w:pPr>
        <w:pStyle w:val="ListParagraph"/>
        <w:numPr>
          <w:ilvl w:val="0"/>
          <w:numId w:val="3"/>
        </w:numPr>
        <w:spacing w:after="0"/>
      </w:pPr>
      <w:r>
        <w:lastRenderedPageBreak/>
        <w:t xml:space="preserve">Out of region travel and lodging </w:t>
      </w:r>
    </w:p>
    <w:p w:rsidR="00A54630" w:rsidRDefault="00A54630" w:rsidP="00A54630">
      <w:pPr>
        <w:pStyle w:val="ListParagraph"/>
        <w:numPr>
          <w:ilvl w:val="0"/>
          <w:numId w:val="3"/>
        </w:numPr>
        <w:spacing w:after="0"/>
      </w:pPr>
      <w:r>
        <w:t>Direct lobbying of state and federal elected officials around specific legislation</w:t>
      </w:r>
    </w:p>
    <w:p w:rsidR="00A54630" w:rsidRDefault="00A54630" w:rsidP="00A54630">
      <w:pPr>
        <w:pStyle w:val="ListParagraph"/>
        <w:numPr>
          <w:ilvl w:val="0"/>
          <w:numId w:val="3"/>
        </w:numPr>
        <w:spacing w:after="0"/>
      </w:pPr>
      <w:r>
        <w:t>Support for political campaigns</w:t>
      </w:r>
    </w:p>
    <w:p w:rsidR="006963BE" w:rsidRDefault="00147820" w:rsidP="001B7659">
      <w:pPr>
        <w:pStyle w:val="ListParagraph"/>
        <w:numPr>
          <w:ilvl w:val="0"/>
          <w:numId w:val="3"/>
        </w:numPr>
      </w:pPr>
      <w:r>
        <w:t>Organizing solely</w:t>
      </w:r>
      <w:r w:rsidR="00A54630">
        <w:t xml:space="preserve"> around a specific transit design issue that does not align with </w:t>
      </w:r>
      <w:proofErr w:type="spellStart"/>
      <w:r w:rsidR="00A54630">
        <w:t>CoO</w:t>
      </w:r>
      <w:proofErr w:type="spellEnd"/>
      <w:r w:rsidR="00A54630">
        <w:t xml:space="preserve"> goals of aligning transit and engineering planning with land use planning, affordable housing, workforce development and economic development especially for low income, immigrant</w:t>
      </w:r>
      <w:r w:rsidR="007C34D0">
        <w:t>s</w:t>
      </w:r>
      <w:r w:rsidR="00A54630">
        <w:t>, persons with disabilities and communities of color.</w:t>
      </w:r>
    </w:p>
    <w:p w:rsidR="001B7659" w:rsidRPr="00E9176D" w:rsidRDefault="001C2BF8" w:rsidP="001B7659">
      <w:pPr>
        <w:jc w:val="center"/>
        <w:rPr>
          <w:b/>
          <w:sz w:val="28"/>
        </w:rPr>
      </w:pPr>
      <w:r>
        <w:rPr>
          <w:b/>
          <w:sz w:val="28"/>
        </w:rPr>
        <w:t xml:space="preserve">Capacity </w:t>
      </w:r>
      <w:r w:rsidR="001B7659" w:rsidRPr="00E9176D">
        <w:rPr>
          <w:b/>
          <w:sz w:val="28"/>
        </w:rPr>
        <w:t>Grant</w:t>
      </w:r>
      <w:r w:rsidR="001B7659">
        <w:rPr>
          <w:b/>
          <w:sz w:val="28"/>
        </w:rPr>
        <w:t xml:space="preserve"> Guidelines</w:t>
      </w:r>
    </w:p>
    <w:p w:rsidR="00BB7ACC" w:rsidRPr="00E9176D" w:rsidRDefault="00BB7ACC" w:rsidP="00BB7ACC">
      <w:pPr>
        <w:pStyle w:val="NormalWeb"/>
        <w:rPr>
          <w:rFonts w:asciiTheme="minorHAnsi" w:hAnsiTheme="minorHAnsi"/>
          <w:sz w:val="23"/>
        </w:rPr>
      </w:pPr>
      <w:r w:rsidRPr="00E9176D">
        <w:rPr>
          <w:rStyle w:val="internalhead"/>
          <w:rFonts w:asciiTheme="minorHAnsi" w:hAnsiTheme="minorHAnsi"/>
          <w:sz w:val="23"/>
        </w:rPr>
        <w:t>GOALS:</w:t>
      </w:r>
      <w:r w:rsidRPr="00E9176D">
        <w:rPr>
          <w:rFonts w:asciiTheme="minorHAnsi" w:hAnsiTheme="minorHAnsi"/>
          <w:sz w:val="23"/>
        </w:rPr>
        <w:t xml:space="preserve"> </w:t>
      </w:r>
      <w:r>
        <w:rPr>
          <w:rFonts w:asciiTheme="minorHAnsi" w:hAnsiTheme="minorHAnsi"/>
          <w:sz w:val="23"/>
        </w:rPr>
        <w:t xml:space="preserve">The Goal of the Corridors of Opportunity Outreach and Engagement grant program is to open the doors for people who are traditionally left out of </w:t>
      </w:r>
      <w:proofErr w:type="spellStart"/>
      <w:r>
        <w:rPr>
          <w:rFonts w:asciiTheme="minorHAnsi" w:hAnsiTheme="minorHAnsi"/>
          <w:sz w:val="23"/>
        </w:rPr>
        <w:t>transitway</w:t>
      </w:r>
      <w:proofErr w:type="spellEnd"/>
      <w:r>
        <w:rPr>
          <w:rFonts w:asciiTheme="minorHAnsi" w:hAnsiTheme="minorHAnsi"/>
          <w:sz w:val="23"/>
        </w:rPr>
        <w:t xml:space="preserve"> decision making process (low income, communities of color, new immigrant communities, persons with disabilities and other cultural constituencies) to ensure that they are engaged and involved in all steps of the planning process along transit corridors, including not only participation, but also </w:t>
      </w:r>
      <w:r w:rsidRPr="00E9176D">
        <w:rPr>
          <w:rStyle w:val="normal-text"/>
          <w:rFonts w:asciiTheme="minorHAnsi" w:hAnsiTheme="minorHAnsi"/>
          <w:sz w:val="23"/>
        </w:rPr>
        <w:t>decision-making, and leadership roles around transit corridor planning and implementation.  This funding does not replace existing efforts</w:t>
      </w:r>
      <w:r>
        <w:rPr>
          <w:rStyle w:val="normal-text"/>
          <w:rFonts w:asciiTheme="minorHAnsi" w:hAnsiTheme="minorHAnsi"/>
          <w:sz w:val="23"/>
        </w:rPr>
        <w:t xml:space="preserve"> and government responsibilities for community outreach</w:t>
      </w:r>
      <w:r w:rsidRPr="00E9176D">
        <w:rPr>
          <w:rStyle w:val="normal-text"/>
          <w:rFonts w:asciiTheme="minorHAnsi" w:hAnsiTheme="minorHAnsi"/>
          <w:sz w:val="23"/>
        </w:rPr>
        <w:t xml:space="preserve">, but is intended to supplement them with increased community capacity.  </w:t>
      </w:r>
    </w:p>
    <w:p w:rsidR="00BB7ACC" w:rsidRPr="00E9176D" w:rsidRDefault="00BB7ACC" w:rsidP="00BB7ACC">
      <w:pPr>
        <w:pStyle w:val="NormalWeb"/>
        <w:rPr>
          <w:rFonts w:asciiTheme="minorHAnsi" w:hAnsiTheme="minorHAnsi"/>
          <w:sz w:val="23"/>
        </w:rPr>
      </w:pPr>
      <w:r w:rsidRPr="00E9176D">
        <w:rPr>
          <w:rStyle w:val="internalhead"/>
          <w:rFonts w:asciiTheme="minorHAnsi" w:hAnsiTheme="minorHAnsi"/>
          <w:sz w:val="23"/>
        </w:rPr>
        <w:t>ELIGIBILITY:</w:t>
      </w:r>
      <w:r w:rsidRPr="00E9176D">
        <w:rPr>
          <w:rStyle w:val="normal-text"/>
          <w:rFonts w:asciiTheme="minorHAnsi" w:hAnsiTheme="minorHAnsi"/>
          <w:sz w:val="23"/>
        </w:rPr>
        <w:t xml:space="preserve">  Community organization(s) applying for an Outreach and Engagement Grant (OEG) must include a resident driven organization or initiative serving a geographic or cultural community and</w:t>
      </w:r>
      <w:r w:rsidRPr="00E9176D">
        <w:rPr>
          <w:rFonts w:asciiTheme="minorHAnsi" w:hAnsiTheme="minorHAnsi"/>
          <w:sz w:val="23"/>
        </w:rPr>
        <w:t xml:space="preserve">, be a registered 501c3 or have a partnering 501c3 </w:t>
      </w:r>
      <w:r>
        <w:rPr>
          <w:rFonts w:asciiTheme="minorHAnsi" w:hAnsiTheme="minorHAnsi"/>
          <w:sz w:val="23"/>
        </w:rPr>
        <w:t xml:space="preserve">or other </w:t>
      </w:r>
      <w:r w:rsidRPr="00E9176D">
        <w:rPr>
          <w:rFonts w:asciiTheme="minorHAnsi" w:hAnsiTheme="minorHAnsi"/>
          <w:sz w:val="23"/>
        </w:rPr>
        <w:t>fiscal agent</w:t>
      </w:r>
      <w:r>
        <w:rPr>
          <w:rFonts w:asciiTheme="minorHAnsi" w:hAnsiTheme="minorHAnsi"/>
          <w:sz w:val="23"/>
        </w:rPr>
        <w:t>.</w:t>
      </w:r>
      <w:r w:rsidRPr="00E9176D">
        <w:rPr>
          <w:rFonts w:asciiTheme="minorHAnsi" w:hAnsiTheme="minorHAnsi"/>
          <w:sz w:val="23"/>
        </w:rPr>
        <w:t xml:space="preserve"> </w:t>
      </w:r>
      <w:r>
        <w:rPr>
          <w:rFonts w:asciiTheme="minorHAnsi" w:hAnsiTheme="minorHAnsi"/>
          <w:sz w:val="23"/>
        </w:rPr>
        <w:t xml:space="preserve">Proposed projects must be </w:t>
      </w:r>
      <w:r w:rsidRPr="00440B1E">
        <w:rPr>
          <w:rFonts w:asciiTheme="minorHAnsi" w:hAnsiTheme="minorHAnsi"/>
          <w:sz w:val="23"/>
        </w:rPr>
        <w:t xml:space="preserve">targeted </w:t>
      </w:r>
      <w:r>
        <w:rPr>
          <w:rFonts w:asciiTheme="minorHAnsi" w:hAnsiTheme="minorHAnsi"/>
          <w:sz w:val="23"/>
        </w:rPr>
        <w:t xml:space="preserve">along a </w:t>
      </w:r>
      <w:r w:rsidRPr="00440B1E">
        <w:rPr>
          <w:rFonts w:asciiTheme="minorHAnsi" w:hAnsiTheme="minorHAnsi"/>
          <w:sz w:val="23"/>
        </w:rPr>
        <w:t xml:space="preserve">transit corridor </w:t>
      </w:r>
      <w:r>
        <w:rPr>
          <w:rFonts w:asciiTheme="minorHAnsi" w:hAnsiTheme="minorHAnsi"/>
          <w:sz w:val="23"/>
        </w:rPr>
        <w:t xml:space="preserve">and tied to </w:t>
      </w:r>
      <w:r w:rsidRPr="00440B1E">
        <w:rPr>
          <w:rFonts w:asciiTheme="minorHAnsi" w:hAnsiTheme="minorHAnsi"/>
          <w:sz w:val="23"/>
        </w:rPr>
        <w:t>related planning and development opportunities.</w:t>
      </w:r>
      <w:r w:rsidRPr="00E9176D">
        <w:rPr>
          <w:rFonts w:asciiTheme="minorHAnsi" w:hAnsiTheme="minorHAnsi"/>
          <w:sz w:val="23"/>
        </w:rPr>
        <w:t xml:space="preserve">  </w:t>
      </w:r>
      <w:r>
        <w:rPr>
          <w:rFonts w:asciiTheme="minorHAnsi" w:hAnsiTheme="minorHAnsi"/>
          <w:sz w:val="23"/>
        </w:rPr>
        <w:t xml:space="preserve">Eligible organizations include nonprofit organizations, neighborhood based organizations, cultural organizations, small business associations, district councils, and other community based entities, whether formal or informal, who are representative of and/or led by low-income communities, communities of color, new immigrant communities, people with disabilities or other cultural communities. Eligible organizations should be committed to engaging these communities in planning &amp; development decision making around transit corridors.  Partnership applications may include local units of government as long as the resident driven organization is the lead applicant, the partnership is clearly defined, and the resources are not used to fulfill already existing responsibilities of local government.  </w:t>
      </w:r>
      <w:r w:rsidRPr="00E9176D">
        <w:rPr>
          <w:rFonts w:asciiTheme="minorHAnsi" w:hAnsiTheme="minorHAnsi"/>
          <w:sz w:val="23"/>
        </w:rPr>
        <w:t>We encourage and give additional consideration to strategies that build bridges and</w:t>
      </w:r>
      <w:r>
        <w:rPr>
          <w:rFonts w:asciiTheme="minorHAnsi" w:hAnsiTheme="minorHAnsi"/>
          <w:sz w:val="23"/>
        </w:rPr>
        <w:t xml:space="preserve"> </w:t>
      </w:r>
      <w:r w:rsidRPr="00E9176D">
        <w:rPr>
          <w:rFonts w:asciiTheme="minorHAnsi" w:hAnsiTheme="minorHAnsi"/>
          <w:sz w:val="23"/>
        </w:rPr>
        <w:t xml:space="preserve">create cross sector relationships between stakeholders, such as residents, nonprofits, businesses, philanthropic, and government entities. </w:t>
      </w:r>
    </w:p>
    <w:p w:rsidR="00BB7ACC" w:rsidRPr="00E9176D" w:rsidRDefault="00BB7ACC" w:rsidP="00BB7ACC">
      <w:pPr>
        <w:pStyle w:val="NormalWeb"/>
        <w:rPr>
          <w:rFonts w:asciiTheme="minorHAnsi" w:hAnsiTheme="minorHAnsi"/>
          <w:sz w:val="23"/>
        </w:rPr>
      </w:pPr>
      <w:r w:rsidRPr="00E9176D">
        <w:rPr>
          <w:rFonts w:asciiTheme="minorHAnsi" w:hAnsiTheme="minorHAnsi"/>
          <w:sz w:val="23"/>
        </w:rPr>
        <w:t>INITIATIVE REQUIREMENTS:</w:t>
      </w:r>
    </w:p>
    <w:p w:rsidR="00BB7ACC" w:rsidRPr="00DA7DE3" w:rsidRDefault="00BB7ACC" w:rsidP="00BB7ACC">
      <w:pPr>
        <w:pStyle w:val="normal-text1"/>
        <w:numPr>
          <w:ilvl w:val="1"/>
          <w:numId w:val="6"/>
        </w:numPr>
        <w:rPr>
          <w:rFonts w:asciiTheme="minorHAnsi" w:hAnsiTheme="minorHAnsi"/>
          <w:sz w:val="23"/>
        </w:rPr>
      </w:pPr>
      <w:r w:rsidRPr="00DA7DE3">
        <w:rPr>
          <w:rFonts w:asciiTheme="minorHAnsi" w:hAnsiTheme="minorHAnsi"/>
          <w:sz w:val="23"/>
        </w:rPr>
        <w:t xml:space="preserve">Be </w:t>
      </w:r>
      <w:r w:rsidRPr="00DA7DE3">
        <w:rPr>
          <w:rFonts w:asciiTheme="minorHAnsi" w:hAnsiTheme="minorHAnsi"/>
          <w:i/>
          <w:sz w:val="23"/>
        </w:rPr>
        <w:t>place based</w:t>
      </w:r>
      <w:r w:rsidRPr="00DA7DE3">
        <w:rPr>
          <w:rFonts w:asciiTheme="minorHAnsi" w:hAnsiTheme="minorHAnsi"/>
          <w:sz w:val="23"/>
        </w:rPr>
        <w:t xml:space="preserve"> by serving a community or constituency within a targeted geography</w:t>
      </w:r>
    </w:p>
    <w:p w:rsidR="00BB7ACC" w:rsidRPr="004E449D" w:rsidRDefault="00BB7ACC" w:rsidP="00BB7ACC">
      <w:pPr>
        <w:pStyle w:val="normal-text1"/>
        <w:numPr>
          <w:ilvl w:val="1"/>
          <w:numId w:val="6"/>
        </w:numPr>
        <w:rPr>
          <w:rFonts w:asciiTheme="minorHAnsi" w:hAnsiTheme="minorHAnsi"/>
          <w:b/>
          <w:sz w:val="23"/>
        </w:rPr>
      </w:pPr>
      <w:r w:rsidRPr="008D4007">
        <w:rPr>
          <w:rFonts w:asciiTheme="minorHAnsi" w:hAnsiTheme="minorHAnsi"/>
          <w:b/>
          <w:i/>
          <w:sz w:val="23"/>
        </w:rPr>
        <w:t>Organize</w:t>
      </w:r>
      <w:r w:rsidRPr="008D4007">
        <w:rPr>
          <w:rFonts w:asciiTheme="minorHAnsi" w:hAnsiTheme="minorHAnsi"/>
          <w:b/>
          <w:sz w:val="23"/>
        </w:rPr>
        <w:t xml:space="preserve"> constituencies around a</w:t>
      </w:r>
      <w:r>
        <w:rPr>
          <w:rFonts w:asciiTheme="minorHAnsi" w:hAnsiTheme="minorHAnsi"/>
          <w:sz w:val="23"/>
        </w:rPr>
        <w:t xml:space="preserve"> </w:t>
      </w:r>
      <w:r w:rsidRPr="004E449D">
        <w:rPr>
          <w:rFonts w:asciiTheme="minorHAnsi" w:hAnsiTheme="minorHAnsi"/>
          <w:b/>
          <w:sz w:val="23"/>
        </w:rPr>
        <w:t xml:space="preserve">specific transit corridor related </w:t>
      </w:r>
      <w:r w:rsidR="0068247F">
        <w:rPr>
          <w:rFonts w:asciiTheme="minorHAnsi" w:hAnsiTheme="minorHAnsi"/>
          <w:b/>
          <w:sz w:val="23"/>
        </w:rPr>
        <w:t>issue or opportunity.</w:t>
      </w:r>
    </w:p>
    <w:p w:rsidR="00BB7ACC" w:rsidRPr="00DA7DE3" w:rsidRDefault="00BB7ACC" w:rsidP="00BB7ACC">
      <w:pPr>
        <w:numPr>
          <w:ilvl w:val="1"/>
          <w:numId w:val="6"/>
        </w:numPr>
        <w:spacing w:before="100" w:beforeAutospacing="1" w:after="100" w:afterAutospacing="1" w:line="240" w:lineRule="auto"/>
        <w:rPr>
          <w:rStyle w:val="Strong"/>
          <w:b w:val="0"/>
        </w:rPr>
      </w:pPr>
      <w:r w:rsidRPr="00DA7DE3">
        <w:rPr>
          <w:rStyle w:val="Strong"/>
          <w:b w:val="0"/>
          <w:sz w:val="23"/>
        </w:rPr>
        <w:t xml:space="preserve">Lead to the </w:t>
      </w:r>
      <w:r w:rsidRPr="00DA7DE3">
        <w:rPr>
          <w:rStyle w:val="Strong"/>
          <w:b w:val="0"/>
          <w:i/>
          <w:sz w:val="23"/>
        </w:rPr>
        <w:t>engagement</w:t>
      </w:r>
      <w:r w:rsidRPr="00DA7DE3">
        <w:rPr>
          <w:rStyle w:val="Strong"/>
          <w:b w:val="0"/>
          <w:sz w:val="23"/>
        </w:rPr>
        <w:t xml:space="preserve"> of underrepresented communities in use of transit corridor development to expand access to jobs, affordable housing, and economic development particularly for </w:t>
      </w:r>
      <w:r>
        <w:rPr>
          <w:rStyle w:val="Strong"/>
          <w:b w:val="0"/>
          <w:sz w:val="23"/>
        </w:rPr>
        <w:t xml:space="preserve">new immigrants, </w:t>
      </w:r>
      <w:r w:rsidRPr="00DA7DE3">
        <w:rPr>
          <w:rStyle w:val="Strong"/>
          <w:b w:val="0"/>
          <w:sz w:val="23"/>
        </w:rPr>
        <w:t>people of color, low-income communities, people with disabilities</w:t>
      </w:r>
      <w:r>
        <w:rPr>
          <w:rStyle w:val="Strong"/>
          <w:b w:val="0"/>
          <w:sz w:val="23"/>
        </w:rPr>
        <w:t xml:space="preserve"> and other cultural constituencies</w:t>
      </w:r>
      <w:r w:rsidRPr="00DA7DE3">
        <w:rPr>
          <w:rStyle w:val="Strong"/>
          <w:b w:val="0"/>
          <w:sz w:val="23"/>
        </w:rPr>
        <w:t>.</w:t>
      </w:r>
    </w:p>
    <w:p w:rsidR="00BB7ACC" w:rsidRPr="00DA7DE3" w:rsidRDefault="00BB7ACC" w:rsidP="00BB7ACC">
      <w:pPr>
        <w:numPr>
          <w:ilvl w:val="1"/>
          <w:numId w:val="6"/>
        </w:numPr>
        <w:spacing w:before="100" w:beforeAutospacing="1" w:after="100" w:afterAutospacing="1" w:line="240" w:lineRule="auto"/>
        <w:rPr>
          <w:rStyle w:val="Strong"/>
          <w:b w:val="0"/>
        </w:rPr>
      </w:pPr>
      <w:r w:rsidRPr="00DA7DE3">
        <w:rPr>
          <w:rStyle w:val="Strong"/>
          <w:b w:val="0"/>
          <w:sz w:val="23"/>
        </w:rPr>
        <w:lastRenderedPageBreak/>
        <w:t xml:space="preserve">Either stimulate new and </w:t>
      </w:r>
      <w:r w:rsidRPr="00DA7DE3">
        <w:rPr>
          <w:rStyle w:val="Strong"/>
          <w:b w:val="0"/>
          <w:i/>
          <w:sz w:val="23"/>
        </w:rPr>
        <w:t>innovative</w:t>
      </w:r>
      <w:r w:rsidRPr="00DA7DE3">
        <w:rPr>
          <w:rStyle w:val="Strong"/>
          <w:b w:val="0"/>
          <w:sz w:val="23"/>
        </w:rPr>
        <w:t xml:space="preserve"> organizing and engagement practices, or build on proven strategies with demonstrated results</w:t>
      </w:r>
    </w:p>
    <w:p w:rsidR="00BB7ACC" w:rsidRPr="00DA7DE3" w:rsidRDefault="00BB7ACC" w:rsidP="00BB7ACC">
      <w:pPr>
        <w:numPr>
          <w:ilvl w:val="1"/>
          <w:numId w:val="6"/>
        </w:numPr>
        <w:spacing w:before="100" w:beforeAutospacing="1" w:after="100" w:afterAutospacing="1" w:line="240" w:lineRule="auto"/>
        <w:rPr>
          <w:rStyle w:val="Strong"/>
          <w:b w:val="0"/>
        </w:rPr>
      </w:pPr>
      <w:r w:rsidRPr="00DA7DE3">
        <w:rPr>
          <w:rStyle w:val="Strong"/>
          <w:b w:val="0"/>
          <w:sz w:val="23"/>
        </w:rPr>
        <w:t>Support long-term involvement of underrepresented constituencies in decision-making structures</w:t>
      </w:r>
    </w:p>
    <w:p w:rsidR="00BB7ACC" w:rsidRPr="00642F32" w:rsidRDefault="00BB7ACC" w:rsidP="00BB7ACC">
      <w:pPr>
        <w:pStyle w:val="normal-text1"/>
        <w:numPr>
          <w:ilvl w:val="1"/>
          <w:numId w:val="6"/>
        </w:numPr>
        <w:rPr>
          <w:rStyle w:val="Strong"/>
          <w:rFonts w:asciiTheme="minorHAnsi" w:hAnsiTheme="minorHAnsi"/>
        </w:rPr>
      </w:pPr>
      <w:r w:rsidRPr="00DA7DE3">
        <w:rPr>
          <w:rFonts w:asciiTheme="minorHAnsi" w:hAnsiTheme="minorHAnsi"/>
          <w:sz w:val="23"/>
        </w:rPr>
        <w:t xml:space="preserve">If a </w:t>
      </w:r>
      <w:r w:rsidRPr="00DA7DE3">
        <w:rPr>
          <w:rFonts w:asciiTheme="minorHAnsi" w:hAnsiTheme="minorHAnsi"/>
          <w:i/>
          <w:sz w:val="23"/>
        </w:rPr>
        <w:t>partnership</w:t>
      </w:r>
      <w:r w:rsidRPr="00DA7DE3">
        <w:rPr>
          <w:rFonts w:asciiTheme="minorHAnsi" w:hAnsiTheme="minorHAnsi"/>
          <w:sz w:val="23"/>
        </w:rPr>
        <w:t xml:space="preserve">, clearly </w:t>
      </w:r>
      <w:r w:rsidRPr="00DA7DE3">
        <w:rPr>
          <w:rFonts w:asciiTheme="minorHAnsi" w:hAnsiTheme="minorHAnsi"/>
          <w:i/>
          <w:sz w:val="23"/>
        </w:rPr>
        <w:t xml:space="preserve">define </w:t>
      </w:r>
      <w:r w:rsidRPr="00DA7DE3">
        <w:rPr>
          <w:rFonts w:asciiTheme="minorHAnsi" w:hAnsiTheme="minorHAnsi"/>
          <w:sz w:val="23"/>
        </w:rPr>
        <w:t>the collaboration and the respective roles of the partners</w:t>
      </w:r>
    </w:p>
    <w:p w:rsidR="00BB7ACC" w:rsidRPr="00E9176D" w:rsidRDefault="00BB7ACC" w:rsidP="00BB7ACC">
      <w:pPr>
        <w:pStyle w:val="NormalWeb"/>
        <w:rPr>
          <w:rFonts w:asciiTheme="minorHAnsi" w:hAnsiTheme="minorHAnsi"/>
          <w:sz w:val="23"/>
        </w:rPr>
      </w:pPr>
      <w:r w:rsidRPr="00E9176D">
        <w:rPr>
          <w:rStyle w:val="internalhead"/>
          <w:rFonts w:asciiTheme="minorHAnsi" w:hAnsiTheme="minorHAnsi"/>
          <w:sz w:val="23"/>
        </w:rPr>
        <w:t>APPLICATION PROCESS:</w:t>
      </w:r>
    </w:p>
    <w:p w:rsidR="00BB7ACC" w:rsidRPr="00172896" w:rsidRDefault="00BB7ACC" w:rsidP="00BB7ACC">
      <w:pPr>
        <w:numPr>
          <w:ilvl w:val="1"/>
          <w:numId w:val="7"/>
        </w:numPr>
        <w:spacing w:before="100" w:beforeAutospacing="1" w:after="100" w:afterAutospacing="1" w:line="240" w:lineRule="auto"/>
        <w:rPr>
          <w:sz w:val="23"/>
        </w:rPr>
      </w:pPr>
      <w:r w:rsidRPr="00E9176D">
        <w:rPr>
          <w:sz w:val="23"/>
        </w:rPr>
        <w:t xml:space="preserve">Submit applications as word or </w:t>
      </w:r>
      <w:proofErr w:type="spellStart"/>
      <w:r w:rsidRPr="00E9176D">
        <w:rPr>
          <w:sz w:val="23"/>
        </w:rPr>
        <w:t>pdf</w:t>
      </w:r>
      <w:proofErr w:type="spellEnd"/>
      <w:r w:rsidRPr="00E9176D">
        <w:rPr>
          <w:sz w:val="23"/>
        </w:rPr>
        <w:t xml:space="preserve"> documents by </w:t>
      </w:r>
      <w:r>
        <w:rPr>
          <w:sz w:val="23"/>
        </w:rPr>
        <w:t>4:00 PM on</w:t>
      </w:r>
      <w:r>
        <w:rPr>
          <w:b/>
          <w:sz w:val="23"/>
        </w:rPr>
        <w:t xml:space="preserve"> November </w:t>
      </w:r>
      <w:r w:rsidR="001171A0">
        <w:rPr>
          <w:b/>
          <w:sz w:val="23"/>
        </w:rPr>
        <w:t>29</w:t>
      </w:r>
      <w:r>
        <w:rPr>
          <w:b/>
          <w:sz w:val="23"/>
        </w:rPr>
        <w:t>, 2013</w:t>
      </w:r>
      <w:r>
        <w:rPr>
          <w:sz w:val="23"/>
        </w:rPr>
        <w:t xml:space="preserve"> to</w:t>
      </w:r>
      <w:r w:rsidRPr="000503FB">
        <w:t xml:space="preserve">: </w:t>
      </w:r>
      <w:hyperlink r:id="rId10" w:history="1">
        <w:r w:rsidRPr="00A93FFB">
          <w:rPr>
            <w:rStyle w:val="Hyperlink"/>
          </w:rPr>
          <w:t>egaarder@nexuscp.org</w:t>
        </w:r>
      </w:hyperlink>
      <w:r>
        <w:t xml:space="preserve">. </w:t>
      </w:r>
      <w:r>
        <w:rPr>
          <w:sz w:val="23"/>
        </w:rPr>
        <w:t xml:space="preserve"> </w:t>
      </w:r>
      <w:r w:rsidRPr="00E9176D">
        <w:rPr>
          <w:sz w:val="23"/>
        </w:rPr>
        <w:t xml:space="preserve"> Paper applications can be sent to </w:t>
      </w:r>
      <w:r>
        <w:rPr>
          <w:sz w:val="23"/>
        </w:rPr>
        <w:t xml:space="preserve">Elena Gaarder, Nexus Community Partners, </w:t>
      </w:r>
      <w:proofErr w:type="gramStart"/>
      <w:r>
        <w:rPr>
          <w:sz w:val="23"/>
        </w:rPr>
        <w:t>2314</w:t>
      </w:r>
      <w:proofErr w:type="gramEnd"/>
      <w:r>
        <w:rPr>
          <w:sz w:val="23"/>
        </w:rPr>
        <w:t xml:space="preserve"> University Ave, Suite 18, St. Paul, MN 55114.  </w:t>
      </w:r>
      <w:r w:rsidRPr="00DA7DE3">
        <w:rPr>
          <w:b/>
          <w:sz w:val="23"/>
        </w:rPr>
        <w:t xml:space="preserve">All Materials must be </w:t>
      </w:r>
      <w:r w:rsidRPr="00DA7DE3">
        <w:rPr>
          <w:b/>
          <w:sz w:val="23"/>
          <w:u w:val="single"/>
        </w:rPr>
        <w:t>received</w:t>
      </w:r>
      <w:r w:rsidRPr="00DA7DE3">
        <w:rPr>
          <w:b/>
          <w:sz w:val="23"/>
        </w:rPr>
        <w:t xml:space="preserve"> by 4:00 p.m. </w:t>
      </w:r>
    </w:p>
    <w:p w:rsidR="00BB7ACC" w:rsidRPr="00172896" w:rsidDel="00ED338C" w:rsidRDefault="00BB7ACC" w:rsidP="00BB7ACC">
      <w:pPr>
        <w:pStyle w:val="normal-text1"/>
        <w:numPr>
          <w:ilvl w:val="1"/>
          <w:numId w:val="7"/>
        </w:numPr>
        <w:rPr>
          <w:rFonts w:asciiTheme="minorHAnsi" w:hAnsiTheme="minorHAnsi"/>
          <w:sz w:val="23"/>
        </w:rPr>
      </w:pPr>
      <w:r>
        <w:rPr>
          <w:rFonts w:asciiTheme="minorHAnsi" w:hAnsiTheme="minorHAnsi"/>
          <w:sz w:val="23"/>
        </w:rPr>
        <w:t>A mid-term written report submitted within 30 days of the mid-grant period.  Final written repor</w:t>
      </w:r>
      <w:r w:rsidRPr="001327C2">
        <w:rPr>
          <w:rFonts w:asciiTheme="minorHAnsi" w:hAnsiTheme="minorHAnsi"/>
          <w:b/>
          <w:sz w:val="23"/>
        </w:rPr>
        <w:t>t provided within sixt</w:t>
      </w:r>
      <w:r w:rsidRPr="001327C2">
        <w:rPr>
          <w:rFonts w:asciiTheme="minorHAnsi" w:hAnsiTheme="minorHAnsi"/>
          <w:b/>
          <w:sz w:val="23"/>
          <w:u w:val="single"/>
        </w:rPr>
        <w:t>y days o</w:t>
      </w:r>
      <w:r w:rsidRPr="001327C2">
        <w:rPr>
          <w:rFonts w:asciiTheme="minorHAnsi" w:hAnsiTheme="minorHAnsi"/>
          <w:b/>
          <w:sz w:val="23"/>
        </w:rPr>
        <w:t>f completion o</w:t>
      </w:r>
      <w:r>
        <w:rPr>
          <w:rFonts w:asciiTheme="minorHAnsi" w:hAnsiTheme="minorHAnsi"/>
          <w:sz w:val="23"/>
        </w:rPr>
        <w:t xml:space="preserve">f the grant.  </w:t>
      </w:r>
    </w:p>
    <w:p w:rsidR="00BB7ACC" w:rsidRPr="00E77352" w:rsidRDefault="00BB7ACC" w:rsidP="00BB7ACC">
      <w:pPr>
        <w:pStyle w:val="normal-text1"/>
        <w:numPr>
          <w:ilvl w:val="1"/>
          <w:numId w:val="7"/>
        </w:numPr>
        <w:rPr>
          <w:rStyle w:val="normal-text"/>
          <w:rFonts w:asciiTheme="minorHAnsi" w:hAnsiTheme="minorHAnsi"/>
          <w:sz w:val="23"/>
        </w:rPr>
      </w:pPr>
      <w:r>
        <w:rPr>
          <w:rStyle w:val="normal-text"/>
          <w:rFonts w:asciiTheme="minorHAnsi" w:hAnsiTheme="minorHAnsi"/>
          <w:sz w:val="23"/>
        </w:rPr>
        <w:t>Grant awards are for one year</w:t>
      </w:r>
      <w:r w:rsidR="001C2BF8">
        <w:rPr>
          <w:rStyle w:val="normal-text"/>
          <w:rFonts w:asciiTheme="minorHAnsi" w:hAnsiTheme="minorHAnsi"/>
          <w:sz w:val="23"/>
        </w:rPr>
        <w:t>, with a maximum grant amount of $10,000.</w:t>
      </w:r>
      <w:r>
        <w:rPr>
          <w:rStyle w:val="normal-text"/>
          <w:rFonts w:asciiTheme="minorHAnsi" w:hAnsiTheme="minorHAnsi"/>
          <w:sz w:val="23"/>
        </w:rPr>
        <w:t xml:space="preserve">  </w:t>
      </w:r>
    </w:p>
    <w:p w:rsidR="00BB7ACC" w:rsidRPr="00BD2ED0" w:rsidRDefault="00BB7ACC" w:rsidP="00BB7ACC">
      <w:pPr>
        <w:pStyle w:val="normal-text1"/>
        <w:numPr>
          <w:ilvl w:val="1"/>
          <w:numId w:val="7"/>
        </w:numPr>
        <w:rPr>
          <w:rStyle w:val="internalhead"/>
          <w:rFonts w:asciiTheme="minorHAnsi" w:hAnsiTheme="minorHAnsi"/>
        </w:rPr>
      </w:pPr>
      <w:r>
        <w:rPr>
          <w:rStyle w:val="normal-text"/>
          <w:rFonts w:asciiTheme="minorHAnsi" w:hAnsiTheme="minorHAnsi"/>
          <w:sz w:val="23"/>
        </w:rPr>
        <w:t>Approximately $50,000 in capacity grants will be funded in this round.</w:t>
      </w:r>
    </w:p>
    <w:p w:rsidR="00BB7ACC" w:rsidRPr="00E9176D" w:rsidRDefault="00BB7ACC" w:rsidP="00BB7ACC">
      <w:pPr>
        <w:rPr>
          <w:b/>
        </w:rPr>
      </w:pPr>
      <w:r w:rsidRPr="00E9176D">
        <w:rPr>
          <w:b/>
        </w:rPr>
        <w:t>What is the process for application and review of grants?</w:t>
      </w:r>
    </w:p>
    <w:p w:rsidR="00BB7ACC" w:rsidRPr="00E9176D" w:rsidRDefault="00BB7ACC" w:rsidP="00BB7ACC">
      <w:pPr>
        <w:pStyle w:val="ListParagraph"/>
        <w:numPr>
          <w:ilvl w:val="0"/>
          <w:numId w:val="5"/>
        </w:numPr>
        <w:rPr>
          <w:sz w:val="24"/>
          <w:szCs w:val="24"/>
        </w:rPr>
      </w:pPr>
      <w:r w:rsidRPr="00E9176D">
        <w:rPr>
          <w:sz w:val="24"/>
          <w:szCs w:val="24"/>
        </w:rPr>
        <w:t>Send out guidelines broadly/call for applications</w:t>
      </w:r>
      <w:r>
        <w:rPr>
          <w:sz w:val="24"/>
          <w:szCs w:val="24"/>
        </w:rPr>
        <w:t xml:space="preserve">: October </w:t>
      </w:r>
      <w:r w:rsidR="001171A0">
        <w:rPr>
          <w:sz w:val="24"/>
          <w:szCs w:val="24"/>
        </w:rPr>
        <w:t>16</w:t>
      </w:r>
      <w:r>
        <w:rPr>
          <w:sz w:val="24"/>
          <w:szCs w:val="24"/>
        </w:rPr>
        <w:t>, 2013</w:t>
      </w:r>
    </w:p>
    <w:p w:rsidR="00BB7ACC" w:rsidRPr="00E9176D" w:rsidRDefault="00BB7ACC" w:rsidP="00BB7ACC">
      <w:pPr>
        <w:pStyle w:val="ListParagraph"/>
        <w:numPr>
          <w:ilvl w:val="0"/>
          <w:numId w:val="5"/>
        </w:numPr>
        <w:rPr>
          <w:sz w:val="24"/>
          <w:szCs w:val="24"/>
        </w:rPr>
      </w:pPr>
      <w:r>
        <w:rPr>
          <w:sz w:val="24"/>
          <w:szCs w:val="24"/>
        </w:rPr>
        <w:t xml:space="preserve">Orientation Session, October </w:t>
      </w:r>
      <w:r w:rsidR="001171A0">
        <w:rPr>
          <w:sz w:val="24"/>
          <w:szCs w:val="24"/>
        </w:rPr>
        <w:t>30</w:t>
      </w:r>
      <w:r>
        <w:rPr>
          <w:sz w:val="24"/>
          <w:szCs w:val="24"/>
        </w:rPr>
        <w:t>th</w:t>
      </w:r>
    </w:p>
    <w:p w:rsidR="00BB7ACC" w:rsidRPr="00E9176D" w:rsidRDefault="00BB7ACC" w:rsidP="00BB7ACC">
      <w:pPr>
        <w:pStyle w:val="ListParagraph"/>
        <w:numPr>
          <w:ilvl w:val="0"/>
          <w:numId w:val="5"/>
        </w:numPr>
        <w:rPr>
          <w:sz w:val="24"/>
          <w:szCs w:val="24"/>
        </w:rPr>
      </w:pPr>
      <w:r>
        <w:rPr>
          <w:sz w:val="24"/>
          <w:szCs w:val="24"/>
        </w:rPr>
        <w:t xml:space="preserve">November </w:t>
      </w:r>
      <w:r w:rsidR="001171A0">
        <w:rPr>
          <w:sz w:val="24"/>
          <w:szCs w:val="24"/>
        </w:rPr>
        <w:t>29</w:t>
      </w:r>
      <w:r>
        <w:rPr>
          <w:sz w:val="24"/>
          <w:szCs w:val="24"/>
        </w:rPr>
        <w:t>, 2013</w:t>
      </w:r>
      <w:r w:rsidRPr="00E9176D">
        <w:rPr>
          <w:sz w:val="24"/>
          <w:szCs w:val="24"/>
        </w:rPr>
        <w:t xml:space="preserve">  Full proposals due</w:t>
      </w:r>
    </w:p>
    <w:p w:rsidR="00BB7ACC" w:rsidRPr="00E9176D" w:rsidRDefault="001171A0" w:rsidP="00BB7ACC">
      <w:pPr>
        <w:pStyle w:val="ListParagraph"/>
        <w:numPr>
          <w:ilvl w:val="0"/>
          <w:numId w:val="5"/>
        </w:numPr>
        <w:rPr>
          <w:sz w:val="24"/>
          <w:szCs w:val="24"/>
        </w:rPr>
      </w:pPr>
      <w:r>
        <w:rPr>
          <w:sz w:val="24"/>
          <w:szCs w:val="24"/>
        </w:rPr>
        <w:t>Early-Mid-</w:t>
      </w:r>
      <w:r w:rsidR="00BB7ACC">
        <w:rPr>
          <w:sz w:val="24"/>
          <w:szCs w:val="24"/>
        </w:rPr>
        <w:t xml:space="preserve"> December site visits</w:t>
      </w:r>
    </w:p>
    <w:p w:rsidR="00BB7ACC" w:rsidRDefault="00BB7ACC" w:rsidP="00BB7ACC">
      <w:pPr>
        <w:pStyle w:val="ListParagraph"/>
        <w:numPr>
          <w:ilvl w:val="0"/>
          <w:numId w:val="5"/>
        </w:numPr>
        <w:rPr>
          <w:sz w:val="24"/>
          <w:szCs w:val="24"/>
        </w:rPr>
      </w:pPr>
      <w:r w:rsidRPr="00E9176D">
        <w:rPr>
          <w:sz w:val="24"/>
          <w:szCs w:val="24"/>
        </w:rPr>
        <w:t>Week of</w:t>
      </w:r>
      <w:r>
        <w:rPr>
          <w:sz w:val="24"/>
          <w:szCs w:val="24"/>
        </w:rPr>
        <w:t xml:space="preserve"> December 16th</w:t>
      </w:r>
      <w:r w:rsidRPr="00E9176D">
        <w:rPr>
          <w:sz w:val="24"/>
          <w:szCs w:val="24"/>
        </w:rPr>
        <w:t>: decisions, write-ups</w:t>
      </w:r>
    </w:p>
    <w:p w:rsidR="00BB7ACC" w:rsidRPr="00E9176D" w:rsidRDefault="00BB7ACC" w:rsidP="00BB7ACC">
      <w:pPr>
        <w:pStyle w:val="ListParagraph"/>
        <w:numPr>
          <w:ilvl w:val="0"/>
          <w:numId w:val="5"/>
        </w:numPr>
        <w:rPr>
          <w:sz w:val="24"/>
          <w:szCs w:val="24"/>
        </w:rPr>
      </w:pPr>
      <w:r>
        <w:rPr>
          <w:sz w:val="24"/>
          <w:szCs w:val="24"/>
        </w:rPr>
        <w:t>Week of December 23</w:t>
      </w:r>
      <w:r w:rsidRPr="00604942">
        <w:rPr>
          <w:sz w:val="24"/>
          <w:szCs w:val="24"/>
          <w:vertAlign w:val="superscript"/>
        </w:rPr>
        <w:t>rd</w:t>
      </w:r>
      <w:r>
        <w:rPr>
          <w:sz w:val="24"/>
          <w:szCs w:val="24"/>
        </w:rPr>
        <w:t>: Grant awards announced</w:t>
      </w:r>
    </w:p>
    <w:p w:rsidR="00BB7ACC" w:rsidRPr="00E9176D" w:rsidRDefault="00BB7ACC" w:rsidP="00BB7ACC">
      <w:pPr>
        <w:rPr>
          <w:b/>
        </w:rPr>
      </w:pPr>
      <w:r w:rsidRPr="00E9176D">
        <w:rPr>
          <w:b/>
        </w:rPr>
        <w:t>Who makes the decisions about what proposals are funded?</w:t>
      </w:r>
    </w:p>
    <w:p w:rsidR="00BB7ACC" w:rsidRDefault="00BB7ACC" w:rsidP="00BB7ACC">
      <w:r w:rsidRPr="00E9176D">
        <w:t xml:space="preserve">All applications will be reviewed by a committee </w:t>
      </w:r>
      <w:r>
        <w:t xml:space="preserve">drawn </w:t>
      </w:r>
      <w:r w:rsidRPr="00E9176D">
        <w:t xml:space="preserve">from community based organizations </w:t>
      </w:r>
      <w:r>
        <w:t xml:space="preserve">that are familiar with </w:t>
      </w:r>
      <w:proofErr w:type="spellStart"/>
      <w:r>
        <w:t>transitway</w:t>
      </w:r>
      <w:proofErr w:type="spellEnd"/>
      <w:r>
        <w:t xml:space="preserve"> corridors and that have a community driven decision making process, </w:t>
      </w:r>
      <w:r w:rsidRPr="00E9176D">
        <w:t xml:space="preserve">with the support of CET members.  All committee members are required to abide by a conflict of interest policy and a confidentiality agreement.    This proposal review committee will make grant award recommendations </w:t>
      </w:r>
      <w:r>
        <w:t>in consultation with Community Engagement Team members</w:t>
      </w:r>
      <w:r w:rsidRPr="00E9176D">
        <w:t>.</w:t>
      </w:r>
      <w:r>
        <w:t xml:space="preserve">  Below is the review scoring sheet that will be used by review committee members to evaluate each application.  </w:t>
      </w:r>
    </w:p>
    <w:p w:rsidR="0068247F" w:rsidRDefault="0068247F" w:rsidP="001B765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3"/>
        <w:gridCol w:w="835"/>
        <w:gridCol w:w="810"/>
        <w:gridCol w:w="1710"/>
      </w:tblGrid>
      <w:tr w:rsidR="004F79E7" w:rsidRPr="00E055C7" w:rsidTr="004F79E7">
        <w:tc>
          <w:tcPr>
            <w:tcW w:w="5753" w:type="dxa"/>
          </w:tcPr>
          <w:p w:rsidR="004F79E7" w:rsidRPr="00E055C7" w:rsidRDefault="004F79E7" w:rsidP="00E65582">
            <w:pPr>
              <w:spacing w:after="0" w:line="240" w:lineRule="auto"/>
              <w:rPr>
                <w:b/>
                <w:sz w:val="28"/>
                <w:szCs w:val="28"/>
              </w:rPr>
            </w:pPr>
            <w:r w:rsidRPr="00E055C7">
              <w:rPr>
                <w:b/>
                <w:sz w:val="28"/>
                <w:szCs w:val="28"/>
              </w:rPr>
              <w:t>Threshold Criteria</w:t>
            </w:r>
          </w:p>
        </w:tc>
        <w:tc>
          <w:tcPr>
            <w:tcW w:w="835" w:type="dxa"/>
          </w:tcPr>
          <w:p w:rsidR="004F79E7" w:rsidRPr="00E055C7" w:rsidRDefault="004F79E7" w:rsidP="00E65582">
            <w:pPr>
              <w:spacing w:after="0" w:line="240" w:lineRule="auto"/>
              <w:rPr>
                <w:b/>
                <w:sz w:val="28"/>
                <w:szCs w:val="28"/>
              </w:rPr>
            </w:pPr>
            <w:r w:rsidRPr="00E055C7">
              <w:rPr>
                <w:b/>
                <w:sz w:val="28"/>
                <w:szCs w:val="28"/>
              </w:rPr>
              <w:t>Pass</w:t>
            </w:r>
          </w:p>
        </w:tc>
        <w:tc>
          <w:tcPr>
            <w:tcW w:w="810" w:type="dxa"/>
          </w:tcPr>
          <w:p w:rsidR="004F79E7" w:rsidRPr="00E055C7" w:rsidRDefault="004F79E7" w:rsidP="00E65582">
            <w:pPr>
              <w:spacing w:after="0" w:line="240" w:lineRule="auto"/>
              <w:rPr>
                <w:b/>
                <w:sz w:val="28"/>
                <w:szCs w:val="28"/>
              </w:rPr>
            </w:pPr>
            <w:r w:rsidRPr="00E055C7">
              <w:rPr>
                <w:b/>
                <w:sz w:val="28"/>
                <w:szCs w:val="28"/>
              </w:rPr>
              <w:t>Fail</w:t>
            </w:r>
          </w:p>
        </w:tc>
        <w:tc>
          <w:tcPr>
            <w:tcW w:w="1710" w:type="dxa"/>
          </w:tcPr>
          <w:p w:rsidR="004F79E7" w:rsidRPr="00E055C7" w:rsidRDefault="004F79E7" w:rsidP="00E65582">
            <w:pPr>
              <w:spacing w:after="0" w:line="240" w:lineRule="auto"/>
              <w:rPr>
                <w:b/>
                <w:sz w:val="28"/>
                <w:szCs w:val="28"/>
              </w:rPr>
            </w:pPr>
            <w:r w:rsidRPr="00E055C7">
              <w:rPr>
                <w:b/>
                <w:sz w:val="28"/>
                <w:szCs w:val="28"/>
              </w:rPr>
              <w:t>Notes</w:t>
            </w:r>
          </w:p>
        </w:tc>
      </w:tr>
      <w:tr w:rsidR="004F79E7" w:rsidRPr="00E055C7" w:rsidTr="004F79E7">
        <w:tc>
          <w:tcPr>
            <w:tcW w:w="5753" w:type="dxa"/>
          </w:tcPr>
          <w:p w:rsidR="004F79E7" w:rsidRPr="00E055C7" w:rsidRDefault="004F79E7" w:rsidP="00E65582">
            <w:pPr>
              <w:spacing w:after="0" w:line="240" w:lineRule="auto"/>
              <w:rPr>
                <w:sz w:val="28"/>
                <w:szCs w:val="28"/>
              </w:rPr>
            </w:pPr>
            <w:r w:rsidRPr="00E055C7">
              <w:rPr>
                <w:sz w:val="28"/>
                <w:szCs w:val="28"/>
              </w:rPr>
              <w:t>Proposal must be place-based, serving a community or constituency within a targeted geography.</w:t>
            </w:r>
          </w:p>
        </w:tc>
        <w:tc>
          <w:tcPr>
            <w:tcW w:w="835" w:type="dxa"/>
          </w:tcPr>
          <w:p w:rsidR="004F79E7" w:rsidRPr="00E055C7" w:rsidRDefault="004F79E7" w:rsidP="00E65582">
            <w:pPr>
              <w:spacing w:after="0" w:line="240" w:lineRule="auto"/>
              <w:rPr>
                <w:sz w:val="28"/>
                <w:szCs w:val="28"/>
              </w:rPr>
            </w:pPr>
          </w:p>
        </w:tc>
        <w:tc>
          <w:tcPr>
            <w:tcW w:w="810" w:type="dxa"/>
          </w:tcPr>
          <w:p w:rsidR="004F79E7" w:rsidRPr="00E055C7" w:rsidRDefault="004F79E7" w:rsidP="00E65582">
            <w:pPr>
              <w:spacing w:after="0" w:line="240" w:lineRule="auto"/>
              <w:rPr>
                <w:sz w:val="28"/>
                <w:szCs w:val="28"/>
              </w:rPr>
            </w:pPr>
          </w:p>
        </w:tc>
        <w:tc>
          <w:tcPr>
            <w:tcW w:w="1710" w:type="dxa"/>
          </w:tcPr>
          <w:p w:rsidR="004F79E7" w:rsidRPr="00E055C7" w:rsidRDefault="004F79E7" w:rsidP="00E65582">
            <w:pPr>
              <w:spacing w:after="0" w:line="240" w:lineRule="auto"/>
              <w:rPr>
                <w:sz w:val="28"/>
                <w:szCs w:val="28"/>
              </w:rPr>
            </w:pPr>
          </w:p>
        </w:tc>
      </w:tr>
      <w:tr w:rsidR="004F79E7" w:rsidRPr="00E055C7" w:rsidTr="004F79E7">
        <w:tc>
          <w:tcPr>
            <w:tcW w:w="5753" w:type="dxa"/>
          </w:tcPr>
          <w:p w:rsidR="004F79E7" w:rsidRPr="00E055C7" w:rsidRDefault="004F79E7" w:rsidP="00E65582">
            <w:pPr>
              <w:spacing w:after="0" w:line="240" w:lineRule="auto"/>
              <w:rPr>
                <w:sz w:val="28"/>
                <w:szCs w:val="28"/>
              </w:rPr>
            </w:pPr>
            <w:r w:rsidRPr="00E055C7">
              <w:rPr>
                <w:sz w:val="28"/>
                <w:szCs w:val="28"/>
              </w:rPr>
              <w:t xml:space="preserve">Proposal must focus on engaging constituencies </w:t>
            </w:r>
            <w:r w:rsidRPr="00E055C7">
              <w:rPr>
                <w:sz w:val="28"/>
                <w:szCs w:val="28"/>
              </w:rPr>
              <w:lastRenderedPageBreak/>
              <w:t xml:space="preserve">around </w:t>
            </w:r>
            <w:proofErr w:type="spellStart"/>
            <w:r w:rsidRPr="00E055C7">
              <w:rPr>
                <w:sz w:val="28"/>
                <w:szCs w:val="28"/>
              </w:rPr>
              <w:t>transitway</w:t>
            </w:r>
            <w:proofErr w:type="spellEnd"/>
            <w:r w:rsidRPr="00E055C7">
              <w:rPr>
                <w:sz w:val="28"/>
                <w:szCs w:val="28"/>
              </w:rPr>
              <w:t xml:space="preserve">-related decision making, planning, and implementation </w:t>
            </w:r>
          </w:p>
        </w:tc>
        <w:tc>
          <w:tcPr>
            <w:tcW w:w="835" w:type="dxa"/>
          </w:tcPr>
          <w:p w:rsidR="004F79E7" w:rsidRPr="00E055C7" w:rsidRDefault="004F79E7" w:rsidP="00E65582">
            <w:pPr>
              <w:spacing w:after="0" w:line="240" w:lineRule="auto"/>
              <w:rPr>
                <w:sz w:val="28"/>
                <w:szCs w:val="28"/>
              </w:rPr>
            </w:pPr>
          </w:p>
        </w:tc>
        <w:tc>
          <w:tcPr>
            <w:tcW w:w="810" w:type="dxa"/>
          </w:tcPr>
          <w:p w:rsidR="004F79E7" w:rsidRPr="00E055C7" w:rsidRDefault="004F79E7" w:rsidP="00E65582">
            <w:pPr>
              <w:spacing w:after="0" w:line="240" w:lineRule="auto"/>
              <w:rPr>
                <w:sz w:val="28"/>
                <w:szCs w:val="28"/>
              </w:rPr>
            </w:pPr>
          </w:p>
        </w:tc>
        <w:tc>
          <w:tcPr>
            <w:tcW w:w="1710" w:type="dxa"/>
          </w:tcPr>
          <w:p w:rsidR="004F79E7" w:rsidRPr="00E055C7" w:rsidRDefault="004F79E7" w:rsidP="00E65582">
            <w:pPr>
              <w:spacing w:after="0" w:line="240" w:lineRule="auto"/>
              <w:rPr>
                <w:sz w:val="28"/>
                <w:szCs w:val="28"/>
              </w:rPr>
            </w:pPr>
          </w:p>
        </w:tc>
      </w:tr>
    </w:tbl>
    <w:p w:rsidR="004F79E7" w:rsidRPr="0039231F" w:rsidRDefault="004F79E7" w:rsidP="004F79E7">
      <w:pPr>
        <w:spacing w:after="0"/>
        <w:rPr>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1656"/>
        <w:gridCol w:w="1980"/>
      </w:tblGrid>
      <w:tr w:rsidR="004F79E7" w:rsidRPr="00E055C7" w:rsidTr="004F79E7">
        <w:tc>
          <w:tcPr>
            <w:tcW w:w="5472" w:type="dxa"/>
          </w:tcPr>
          <w:p w:rsidR="004F79E7" w:rsidRPr="00E055C7" w:rsidRDefault="004F79E7" w:rsidP="00E65582">
            <w:pPr>
              <w:spacing w:after="0" w:line="240" w:lineRule="auto"/>
              <w:rPr>
                <w:b/>
                <w:sz w:val="28"/>
                <w:szCs w:val="28"/>
              </w:rPr>
            </w:pPr>
            <w:r w:rsidRPr="00E055C7">
              <w:rPr>
                <w:b/>
                <w:sz w:val="28"/>
                <w:szCs w:val="28"/>
              </w:rPr>
              <w:t>Ranking Criteria</w:t>
            </w:r>
          </w:p>
        </w:tc>
        <w:tc>
          <w:tcPr>
            <w:tcW w:w="1656" w:type="dxa"/>
          </w:tcPr>
          <w:p w:rsidR="004F79E7" w:rsidRPr="00E055C7" w:rsidRDefault="004F79E7" w:rsidP="00E65582">
            <w:pPr>
              <w:spacing w:after="0" w:line="240" w:lineRule="auto"/>
              <w:rPr>
                <w:b/>
                <w:sz w:val="28"/>
                <w:szCs w:val="28"/>
              </w:rPr>
            </w:pPr>
            <w:r w:rsidRPr="00E055C7">
              <w:rPr>
                <w:b/>
                <w:sz w:val="28"/>
                <w:szCs w:val="28"/>
              </w:rPr>
              <w:t xml:space="preserve">Points </w:t>
            </w:r>
            <w:r w:rsidRPr="00E055C7">
              <w:rPr>
                <w:sz w:val="28"/>
                <w:szCs w:val="28"/>
              </w:rPr>
              <w:t xml:space="preserve">(0- 5)  </w:t>
            </w:r>
          </w:p>
        </w:tc>
        <w:tc>
          <w:tcPr>
            <w:tcW w:w="1980" w:type="dxa"/>
          </w:tcPr>
          <w:p w:rsidR="004F79E7" w:rsidRPr="00E055C7" w:rsidRDefault="004F79E7" w:rsidP="00E65582">
            <w:pPr>
              <w:spacing w:after="0" w:line="240" w:lineRule="auto"/>
              <w:rPr>
                <w:b/>
                <w:sz w:val="28"/>
                <w:szCs w:val="28"/>
              </w:rPr>
            </w:pPr>
            <w:r w:rsidRPr="00E055C7">
              <w:rPr>
                <w:b/>
                <w:sz w:val="28"/>
                <w:szCs w:val="28"/>
              </w:rPr>
              <w:t>Notes</w:t>
            </w:r>
          </w:p>
        </w:tc>
      </w:tr>
      <w:tr w:rsidR="004F79E7" w:rsidRPr="00E055C7" w:rsidTr="004F79E7">
        <w:tc>
          <w:tcPr>
            <w:tcW w:w="5472" w:type="dxa"/>
          </w:tcPr>
          <w:p w:rsidR="004F79E7" w:rsidRPr="00E055C7" w:rsidRDefault="004F79E7" w:rsidP="00E65582">
            <w:pPr>
              <w:spacing w:after="0" w:line="240" w:lineRule="auto"/>
              <w:rPr>
                <w:sz w:val="28"/>
                <w:szCs w:val="28"/>
              </w:rPr>
            </w:pPr>
            <w:r w:rsidRPr="00E055C7">
              <w:rPr>
                <w:b/>
                <w:sz w:val="28"/>
                <w:szCs w:val="28"/>
              </w:rPr>
              <w:t>Engagement:</w:t>
            </w:r>
            <w:r w:rsidRPr="00E055C7">
              <w:rPr>
                <w:sz w:val="28"/>
                <w:szCs w:val="28"/>
              </w:rPr>
              <w:t xml:space="preserve"> engagement of under-represented communities </w:t>
            </w:r>
          </w:p>
        </w:tc>
        <w:tc>
          <w:tcPr>
            <w:tcW w:w="1656" w:type="dxa"/>
          </w:tcPr>
          <w:p w:rsidR="004F79E7" w:rsidRPr="00E055C7" w:rsidRDefault="004F79E7" w:rsidP="00E65582">
            <w:pPr>
              <w:spacing w:after="0" w:line="240" w:lineRule="auto"/>
              <w:rPr>
                <w:sz w:val="28"/>
                <w:szCs w:val="28"/>
              </w:rPr>
            </w:pPr>
          </w:p>
        </w:tc>
        <w:tc>
          <w:tcPr>
            <w:tcW w:w="1980" w:type="dxa"/>
          </w:tcPr>
          <w:p w:rsidR="004F79E7" w:rsidRPr="00E055C7" w:rsidRDefault="004F79E7" w:rsidP="00E65582">
            <w:pPr>
              <w:spacing w:after="0" w:line="240" w:lineRule="auto"/>
              <w:rPr>
                <w:sz w:val="28"/>
                <w:szCs w:val="28"/>
              </w:rPr>
            </w:pPr>
          </w:p>
        </w:tc>
      </w:tr>
      <w:tr w:rsidR="004F79E7" w:rsidRPr="00E055C7" w:rsidTr="004F79E7">
        <w:tc>
          <w:tcPr>
            <w:tcW w:w="5472" w:type="dxa"/>
          </w:tcPr>
          <w:p w:rsidR="004F79E7" w:rsidRPr="00E055C7" w:rsidRDefault="004F79E7" w:rsidP="00E65582">
            <w:pPr>
              <w:spacing w:after="0" w:line="240" w:lineRule="auto"/>
              <w:rPr>
                <w:sz w:val="28"/>
                <w:szCs w:val="28"/>
              </w:rPr>
            </w:pPr>
            <w:r w:rsidRPr="00E055C7">
              <w:rPr>
                <w:b/>
                <w:sz w:val="28"/>
                <w:szCs w:val="28"/>
              </w:rPr>
              <w:t>Innovation:</w:t>
            </w:r>
            <w:r w:rsidRPr="00E055C7">
              <w:rPr>
                <w:sz w:val="28"/>
                <w:szCs w:val="28"/>
              </w:rPr>
              <w:t xml:space="preserve"> stimulates new and innovative engagement/organizing practices and/or builds on proven strategies with demonstrated results.</w:t>
            </w:r>
          </w:p>
        </w:tc>
        <w:tc>
          <w:tcPr>
            <w:tcW w:w="1656" w:type="dxa"/>
          </w:tcPr>
          <w:p w:rsidR="004F79E7" w:rsidRPr="00E055C7" w:rsidRDefault="004F79E7" w:rsidP="00E65582">
            <w:pPr>
              <w:spacing w:after="0" w:line="240" w:lineRule="auto"/>
              <w:rPr>
                <w:sz w:val="28"/>
                <w:szCs w:val="28"/>
              </w:rPr>
            </w:pPr>
          </w:p>
        </w:tc>
        <w:tc>
          <w:tcPr>
            <w:tcW w:w="1980" w:type="dxa"/>
          </w:tcPr>
          <w:p w:rsidR="004F79E7" w:rsidRPr="00E055C7" w:rsidRDefault="004F79E7" w:rsidP="00E65582">
            <w:pPr>
              <w:spacing w:after="0" w:line="240" w:lineRule="auto"/>
              <w:rPr>
                <w:sz w:val="28"/>
                <w:szCs w:val="28"/>
              </w:rPr>
            </w:pPr>
          </w:p>
        </w:tc>
      </w:tr>
      <w:tr w:rsidR="004F79E7" w:rsidRPr="00E055C7" w:rsidTr="004F79E7">
        <w:trPr>
          <w:trHeight w:val="593"/>
        </w:trPr>
        <w:tc>
          <w:tcPr>
            <w:tcW w:w="5472" w:type="dxa"/>
          </w:tcPr>
          <w:p w:rsidR="004F79E7" w:rsidRPr="00E055C7" w:rsidRDefault="004F79E7" w:rsidP="00E65582">
            <w:pPr>
              <w:spacing w:after="0" w:line="240" w:lineRule="auto"/>
              <w:rPr>
                <w:sz w:val="28"/>
                <w:szCs w:val="28"/>
              </w:rPr>
            </w:pPr>
            <w:r w:rsidRPr="00E055C7">
              <w:rPr>
                <w:b/>
                <w:sz w:val="28"/>
                <w:szCs w:val="28"/>
              </w:rPr>
              <w:t>Sustainability:</w:t>
            </w:r>
            <w:r w:rsidRPr="00E055C7">
              <w:rPr>
                <w:sz w:val="28"/>
                <w:szCs w:val="28"/>
              </w:rPr>
              <w:t xml:space="preserve"> supports long-term involvement of marginalized constituencies in decision-making structures.</w:t>
            </w:r>
          </w:p>
        </w:tc>
        <w:tc>
          <w:tcPr>
            <w:tcW w:w="1656" w:type="dxa"/>
          </w:tcPr>
          <w:p w:rsidR="004F79E7" w:rsidRPr="00E055C7" w:rsidRDefault="004F79E7" w:rsidP="00E65582">
            <w:pPr>
              <w:spacing w:after="0" w:line="240" w:lineRule="auto"/>
              <w:rPr>
                <w:sz w:val="28"/>
                <w:szCs w:val="28"/>
              </w:rPr>
            </w:pPr>
          </w:p>
        </w:tc>
        <w:tc>
          <w:tcPr>
            <w:tcW w:w="1980" w:type="dxa"/>
          </w:tcPr>
          <w:p w:rsidR="004F79E7" w:rsidRPr="00E055C7" w:rsidRDefault="004F79E7" w:rsidP="00E65582">
            <w:pPr>
              <w:spacing w:after="0" w:line="240" w:lineRule="auto"/>
              <w:rPr>
                <w:sz w:val="28"/>
                <w:szCs w:val="28"/>
              </w:rPr>
            </w:pPr>
          </w:p>
        </w:tc>
      </w:tr>
      <w:tr w:rsidR="004F79E7" w:rsidRPr="00E055C7" w:rsidTr="004F79E7">
        <w:tc>
          <w:tcPr>
            <w:tcW w:w="5472" w:type="dxa"/>
          </w:tcPr>
          <w:p w:rsidR="004F79E7" w:rsidRPr="00E055C7" w:rsidRDefault="004F79E7" w:rsidP="00E65582">
            <w:pPr>
              <w:spacing w:after="0" w:line="240" w:lineRule="auto"/>
              <w:rPr>
                <w:sz w:val="28"/>
                <w:szCs w:val="28"/>
              </w:rPr>
            </w:pPr>
            <w:r w:rsidRPr="00E055C7">
              <w:rPr>
                <w:b/>
                <w:sz w:val="28"/>
                <w:szCs w:val="28"/>
              </w:rPr>
              <w:t xml:space="preserve">Leveraging: </w:t>
            </w:r>
            <w:r w:rsidRPr="00E055C7">
              <w:rPr>
                <w:sz w:val="28"/>
                <w:szCs w:val="28"/>
              </w:rPr>
              <w:t>accesses other resources such as money, people, learning opportunities</w:t>
            </w:r>
          </w:p>
        </w:tc>
        <w:tc>
          <w:tcPr>
            <w:tcW w:w="1656" w:type="dxa"/>
          </w:tcPr>
          <w:p w:rsidR="004F79E7" w:rsidRPr="00E055C7" w:rsidRDefault="004F79E7" w:rsidP="00E65582">
            <w:pPr>
              <w:spacing w:after="0" w:line="240" w:lineRule="auto"/>
              <w:rPr>
                <w:sz w:val="28"/>
                <w:szCs w:val="28"/>
              </w:rPr>
            </w:pPr>
          </w:p>
        </w:tc>
        <w:tc>
          <w:tcPr>
            <w:tcW w:w="1980" w:type="dxa"/>
          </w:tcPr>
          <w:p w:rsidR="004F79E7" w:rsidRPr="00E055C7" w:rsidRDefault="004F79E7" w:rsidP="00E65582">
            <w:pPr>
              <w:spacing w:after="0" w:line="240" w:lineRule="auto"/>
              <w:rPr>
                <w:sz w:val="28"/>
                <w:szCs w:val="28"/>
              </w:rPr>
            </w:pPr>
          </w:p>
        </w:tc>
      </w:tr>
      <w:tr w:rsidR="004F79E7" w:rsidRPr="00E055C7" w:rsidTr="004F79E7">
        <w:tc>
          <w:tcPr>
            <w:tcW w:w="5472" w:type="dxa"/>
          </w:tcPr>
          <w:p w:rsidR="004F79E7" w:rsidRPr="00E055C7" w:rsidRDefault="004F79E7" w:rsidP="00E65582">
            <w:pPr>
              <w:spacing w:after="0" w:line="240" w:lineRule="auto"/>
              <w:rPr>
                <w:sz w:val="28"/>
                <w:szCs w:val="28"/>
              </w:rPr>
            </w:pPr>
            <w:r w:rsidRPr="00E055C7">
              <w:rPr>
                <w:b/>
                <w:sz w:val="28"/>
                <w:szCs w:val="28"/>
              </w:rPr>
              <w:t>Community informed:</w:t>
            </w:r>
            <w:r w:rsidRPr="00E055C7">
              <w:rPr>
                <w:sz w:val="28"/>
                <w:szCs w:val="28"/>
              </w:rPr>
              <w:t xml:space="preserve"> community members from underrepresented constituencies are involved in project design and implementation</w:t>
            </w:r>
          </w:p>
        </w:tc>
        <w:tc>
          <w:tcPr>
            <w:tcW w:w="1656" w:type="dxa"/>
          </w:tcPr>
          <w:p w:rsidR="004F79E7" w:rsidRPr="00E055C7" w:rsidRDefault="004F79E7" w:rsidP="00E65582">
            <w:pPr>
              <w:spacing w:after="0" w:line="240" w:lineRule="auto"/>
              <w:rPr>
                <w:sz w:val="28"/>
                <w:szCs w:val="28"/>
              </w:rPr>
            </w:pPr>
          </w:p>
        </w:tc>
        <w:tc>
          <w:tcPr>
            <w:tcW w:w="1980" w:type="dxa"/>
          </w:tcPr>
          <w:p w:rsidR="004F79E7" w:rsidRPr="00E055C7" w:rsidRDefault="004F79E7" w:rsidP="00E65582">
            <w:pPr>
              <w:spacing w:after="0" w:line="240" w:lineRule="auto"/>
              <w:rPr>
                <w:sz w:val="28"/>
                <w:szCs w:val="28"/>
              </w:rPr>
            </w:pPr>
          </w:p>
        </w:tc>
      </w:tr>
      <w:tr w:rsidR="004F79E7" w:rsidRPr="00E055C7" w:rsidTr="004F79E7">
        <w:tc>
          <w:tcPr>
            <w:tcW w:w="5472" w:type="dxa"/>
          </w:tcPr>
          <w:p w:rsidR="004F79E7" w:rsidRPr="00E055C7" w:rsidRDefault="004F79E7" w:rsidP="00E65582">
            <w:pPr>
              <w:spacing w:after="0" w:line="240" w:lineRule="auto"/>
              <w:rPr>
                <w:sz w:val="28"/>
                <w:szCs w:val="28"/>
              </w:rPr>
            </w:pPr>
            <w:r w:rsidRPr="00E055C7">
              <w:rPr>
                <w:b/>
                <w:sz w:val="28"/>
                <w:szCs w:val="28"/>
              </w:rPr>
              <w:t>Effectiveness:</w:t>
            </w:r>
            <w:r w:rsidRPr="00E055C7">
              <w:rPr>
                <w:sz w:val="28"/>
                <w:szCs w:val="28"/>
              </w:rPr>
              <w:t xml:space="preserve"> project is logically connected to desired outcomes</w:t>
            </w:r>
          </w:p>
        </w:tc>
        <w:tc>
          <w:tcPr>
            <w:tcW w:w="1656" w:type="dxa"/>
          </w:tcPr>
          <w:p w:rsidR="004F79E7" w:rsidRPr="00E055C7" w:rsidRDefault="004F79E7" w:rsidP="00E65582">
            <w:pPr>
              <w:spacing w:after="0" w:line="240" w:lineRule="auto"/>
              <w:rPr>
                <w:sz w:val="28"/>
                <w:szCs w:val="28"/>
              </w:rPr>
            </w:pPr>
          </w:p>
        </w:tc>
        <w:tc>
          <w:tcPr>
            <w:tcW w:w="1980" w:type="dxa"/>
          </w:tcPr>
          <w:p w:rsidR="004F79E7" w:rsidRPr="00E055C7" w:rsidRDefault="004F79E7" w:rsidP="00E65582">
            <w:pPr>
              <w:spacing w:after="0" w:line="240" w:lineRule="auto"/>
              <w:rPr>
                <w:sz w:val="28"/>
                <w:szCs w:val="28"/>
              </w:rPr>
            </w:pPr>
          </w:p>
        </w:tc>
      </w:tr>
      <w:tr w:rsidR="004F79E7" w:rsidRPr="00E055C7" w:rsidTr="004F79E7">
        <w:tc>
          <w:tcPr>
            <w:tcW w:w="5472" w:type="dxa"/>
          </w:tcPr>
          <w:p w:rsidR="004F79E7" w:rsidRPr="00E055C7" w:rsidRDefault="004F79E7" w:rsidP="00E65582">
            <w:pPr>
              <w:spacing w:after="0" w:line="240" w:lineRule="auto"/>
              <w:rPr>
                <w:sz w:val="28"/>
                <w:szCs w:val="28"/>
              </w:rPr>
            </w:pPr>
            <w:r w:rsidRPr="00E055C7">
              <w:rPr>
                <w:b/>
                <w:sz w:val="28"/>
                <w:szCs w:val="28"/>
              </w:rPr>
              <w:t>Leadership:</w:t>
            </w:r>
            <w:r w:rsidRPr="00E055C7">
              <w:rPr>
                <w:sz w:val="28"/>
                <w:szCs w:val="28"/>
              </w:rPr>
              <w:t xml:space="preserve"> decision-making within the organization is or will be informed by underrepresented community members affected by transit corridor development</w:t>
            </w:r>
          </w:p>
        </w:tc>
        <w:tc>
          <w:tcPr>
            <w:tcW w:w="1656" w:type="dxa"/>
          </w:tcPr>
          <w:p w:rsidR="004F79E7" w:rsidRPr="00E055C7" w:rsidRDefault="004F79E7" w:rsidP="00E65582">
            <w:pPr>
              <w:spacing w:after="0" w:line="240" w:lineRule="auto"/>
              <w:rPr>
                <w:sz w:val="28"/>
                <w:szCs w:val="28"/>
              </w:rPr>
            </w:pPr>
          </w:p>
        </w:tc>
        <w:tc>
          <w:tcPr>
            <w:tcW w:w="1980" w:type="dxa"/>
          </w:tcPr>
          <w:p w:rsidR="004F79E7" w:rsidRPr="00E055C7" w:rsidRDefault="004F79E7" w:rsidP="00E65582">
            <w:pPr>
              <w:spacing w:after="0" w:line="240" w:lineRule="auto"/>
              <w:rPr>
                <w:sz w:val="28"/>
                <w:szCs w:val="28"/>
              </w:rPr>
            </w:pPr>
          </w:p>
        </w:tc>
      </w:tr>
      <w:tr w:rsidR="004F79E7" w:rsidRPr="00E055C7" w:rsidTr="004F79E7">
        <w:tc>
          <w:tcPr>
            <w:tcW w:w="5472" w:type="dxa"/>
          </w:tcPr>
          <w:p w:rsidR="004F79E7" w:rsidRPr="00E055C7" w:rsidRDefault="004F79E7" w:rsidP="00E65582">
            <w:pPr>
              <w:spacing w:after="0" w:line="240" w:lineRule="auto"/>
              <w:rPr>
                <w:sz w:val="28"/>
                <w:szCs w:val="28"/>
              </w:rPr>
            </w:pPr>
            <w:r w:rsidRPr="00E055C7">
              <w:rPr>
                <w:b/>
                <w:sz w:val="28"/>
                <w:szCs w:val="28"/>
              </w:rPr>
              <w:t>Bridging:</w:t>
            </w:r>
            <w:r w:rsidRPr="00E055C7">
              <w:rPr>
                <w:sz w:val="28"/>
                <w:szCs w:val="28"/>
              </w:rPr>
              <w:t xml:space="preserve"> Project creates bridges between stakeholders</w:t>
            </w:r>
          </w:p>
        </w:tc>
        <w:tc>
          <w:tcPr>
            <w:tcW w:w="1656" w:type="dxa"/>
          </w:tcPr>
          <w:p w:rsidR="004F79E7" w:rsidRPr="00E055C7" w:rsidRDefault="004F79E7" w:rsidP="00E65582">
            <w:pPr>
              <w:spacing w:after="0" w:line="240" w:lineRule="auto"/>
              <w:rPr>
                <w:sz w:val="28"/>
                <w:szCs w:val="28"/>
              </w:rPr>
            </w:pPr>
          </w:p>
        </w:tc>
        <w:tc>
          <w:tcPr>
            <w:tcW w:w="1980" w:type="dxa"/>
          </w:tcPr>
          <w:p w:rsidR="004F79E7" w:rsidRPr="00E055C7" w:rsidRDefault="004F79E7" w:rsidP="00E65582">
            <w:pPr>
              <w:spacing w:after="0" w:line="240" w:lineRule="auto"/>
              <w:rPr>
                <w:sz w:val="28"/>
                <w:szCs w:val="28"/>
              </w:rPr>
            </w:pPr>
          </w:p>
        </w:tc>
      </w:tr>
      <w:tr w:rsidR="004F79E7" w:rsidRPr="00E055C7" w:rsidTr="004F79E7">
        <w:tc>
          <w:tcPr>
            <w:tcW w:w="5472" w:type="dxa"/>
          </w:tcPr>
          <w:p w:rsidR="004F79E7" w:rsidRPr="00E055C7" w:rsidRDefault="004F79E7" w:rsidP="00E65582">
            <w:pPr>
              <w:spacing w:after="0" w:line="240" w:lineRule="auto"/>
              <w:rPr>
                <w:sz w:val="28"/>
                <w:szCs w:val="28"/>
              </w:rPr>
            </w:pPr>
            <w:r w:rsidRPr="00E055C7">
              <w:rPr>
                <w:b/>
                <w:sz w:val="28"/>
                <w:szCs w:val="28"/>
              </w:rPr>
              <w:t xml:space="preserve">Evaluation:  </w:t>
            </w:r>
            <w:r w:rsidRPr="00E055C7">
              <w:rPr>
                <w:sz w:val="28"/>
                <w:szCs w:val="28"/>
              </w:rPr>
              <w:t>Clear explanation of what change is expected as a result of this project</w:t>
            </w:r>
          </w:p>
        </w:tc>
        <w:tc>
          <w:tcPr>
            <w:tcW w:w="1656" w:type="dxa"/>
          </w:tcPr>
          <w:p w:rsidR="004F79E7" w:rsidRPr="00E055C7" w:rsidRDefault="004F79E7" w:rsidP="00E65582">
            <w:pPr>
              <w:spacing w:after="0" w:line="240" w:lineRule="auto"/>
              <w:rPr>
                <w:sz w:val="28"/>
                <w:szCs w:val="28"/>
              </w:rPr>
            </w:pPr>
          </w:p>
        </w:tc>
        <w:tc>
          <w:tcPr>
            <w:tcW w:w="1980" w:type="dxa"/>
          </w:tcPr>
          <w:p w:rsidR="004F79E7" w:rsidRPr="00E055C7" w:rsidRDefault="004F79E7" w:rsidP="00E65582">
            <w:pPr>
              <w:spacing w:after="0" w:line="240" w:lineRule="auto"/>
              <w:rPr>
                <w:sz w:val="28"/>
                <w:szCs w:val="28"/>
              </w:rPr>
            </w:pPr>
          </w:p>
        </w:tc>
      </w:tr>
    </w:tbl>
    <w:p w:rsidR="0068247F" w:rsidRDefault="0068247F" w:rsidP="0068247F"/>
    <w:p w:rsidR="0068247F" w:rsidRPr="00E9176D" w:rsidRDefault="0068247F" w:rsidP="0068247F">
      <w:pPr>
        <w:rPr>
          <w:b/>
        </w:rPr>
      </w:pPr>
      <w:r w:rsidRPr="00E9176D">
        <w:rPr>
          <w:b/>
        </w:rPr>
        <w:t>What are my obligations if I received a grant?</w:t>
      </w:r>
    </w:p>
    <w:p w:rsidR="0068247F" w:rsidRDefault="001B7659" w:rsidP="0068247F">
      <w:r w:rsidRPr="00E9176D">
        <w:t xml:space="preserve"> </w:t>
      </w:r>
      <w:r w:rsidR="0068247F" w:rsidRPr="00E9176D">
        <w:t xml:space="preserve">Recipients of grant are required to provide a mid-term and final report.   </w:t>
      </w:r>
      <w:r w:rsidR="0068247F">
        <w:t xml:space="preserve"> </w:t>
      </w:r>
      <w:r w:rsidR="0068247F" w:rsidRPr="00E9176D">
        <w:t xml:space="preserve"> Grantees must agree to spend funds consistent with the grant application.</w:t>
      </w:r>
      <w:r w:rsidR="0068247F">
        <w:t xml:space="preserve">  Grantees are also expected to be part of a cohort, or learning community, so that best practices can be shared across the region. Finally, grantees are expected to participate in the Corridors of Opportunity Community Engagement Team Evaluation.</w:t>
      </w:r>
    </w:p>
    <w:p w:rsidR="0068247F" w:rsidRDefault="0068247F" w:rsidP="0068247F"/>
    <w:p w:rsidR="001171A0" w:rsidRPr="00E9176D" w:rsidRDefault="001171A0" w:rsidP="0068247F"/>
    <w:p w:rsidR="0068247F" w:rsidRPr="00E9176D" w:rsidRDefault="0068247F" w:rsidP="0068247F">
      <w:pPr>
        <w:rPr>
          <w:b/>
        </w:rPr>
      </w:pPr>
      <w:r w:rsidRPr="00E9176D">
        <w:rPr>
          <w:b/>
        </w:rPr>
        <w:t>What kind of additional support is available to make my project a success?</w:t>
      </w:r>
    </w:p>
    <w:p w:rsidR="0068247F" w:rsidRDefault="0068247F" w:rsidP="0068247F">
      <w:r w:rsidRPr="00E9176D">
        <w:t xml:space="preserve">The CET is committed to providing ongoing technical assistance and support to the efforts of grantees.  </w:t>
      </w:r>
      <w:r>
        <w:t>When requested, the CET will work with funded organizations to bring together grantees, corridor project managers and other governmental policy making entities to help build stronger working relationships between community organizations and government systems.</w:t>
      </w:r>
    </w:p>
    <w:p w:rsidR="0068247F" w:rsidRPr="003B05F1" w:rsidRDefault="0068247F" w:rsidP="0068247F">
      <w:pPr>
        <w:pStyle w:val="normal-text1"/>
        <w:spacing w:before="0" w:beforeAutospacing="0" w:after="0" w:afterAutospacing="0"/>
        <w:rPr>
          <w:rFonts w:asciiTheme="minorHAnsi" w:hAnsiTheme="minorHAnsi"/>
        </w:rPr>
      </w:pPr>
      <w:r w:rsidRPr="003B05F1">
        <w:rPr>
          <w:rFonts w:asciiTheme="minorHAnsi" w:hAnsiTheme="minorHAnsi"/>
        </w:rPr>
        <w:t xml:space="preserve">For more information about Corridors of Opportunity community engagement and the Outreach and Engagement Grant Program please visit our website: </w:t>
      </w:r>
      <w:hyperlink r:id="rId11" w:history="1">
        <w:r w:rsidRPr="003B05F1">
          <w:rPr>
            <w:rStyle w:val="Hyperlink"/>
            <w:rFonts w:asciiTheme="minorHAnsi" w:hAnsiTheme="minorHAnsi"/>
          </w:rPr>
          <w:t>www.engagetc.org</w:t>
        </w:r>
      </w:hyperlink>
    </w:p>
    <w:p w:rsidR="0068247F" w:rsidRPr="003B05F1" w:rsidRDefault="0068247F" w:rsidP="0068247F">
      <w:pPr>
        <w:pStyle w:val="normal-text1"/>
        <w:spacing w:before="0" w:beforeAutospacing="0" w:after="0" w:afterAutospacing="0"/>
        <w:rPr>
          <w:rFonts w:asciiTheme="minorHAnsi" w:hAnsiTheme="minorHAnsi"/>
        </w:rPr>
      </w:pPr>
      <w:r w:rsidRPr="003B05F1">
        <w:rPr>
          <w:rFonts w:asciiTheme="minorHAnsi" w:hAnsiTheme="minorHAnsi"/>
        </w:rPr>
        <w:t xml:space="preserve">If you have questions or would like more information, contact:  Elena Gaarder at </w:t>
      </w:r>
      <w:hyperlink r:id="rId12" w:history="1">
        <w:r w:rsidRPr="008D4007">
          <w:rPr>
            <w:rStyle w:val="Hyperlink"/>
            <w:rFonts w:asciiTheme="minorHAnsi" w:hAnsiTheme="minorHAnsi"/>
          </w:rPr>
          <w:t>egaarder@nexuscp.org</w:t>
        </w:r>
      </w:hyperlink>
      <w:r w:rsidRPr="008D4007">
        <w:rPr>
          <w:rFonts w:asciiTheme="minorHAnsi" w:hAnsiTheme="minorHAnsi"/>
        </w:rPr>
        <w:t xml:space="preserve"> 651- 289-7030</w:t>
      </w:r>
      <w:r w:rsidRPr="003B05F1">
        <w:rPr>
          <w:rFonts w:asciiTheme="minorHAnsi" w:hAnsiTheme="minorHAnsi"/>
        </w:rPr>
        <w:t>.</w:t>
      </w:r>
    </w:p>
    <w:p w:rsidR="001B7659" w:rsidRPr="006963BE" w:rsidRDefault="001B7659" w:rsidP="0068247F"/>
    <w:sectPr w:rsidR="001B7659" w:rsidRPr="006963BE" w:rsidSect="00EB05B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2C" w:rsidRDefault="00E6672C" w:rsidP="0052381A">
      <w:pPr>
        <w:spacing w:after="0" w:line="240" w:lineRule="auto"/>
      </w:pPr>
      <w:r>
        <w:separator/>
      </w:r>
    </w:p>
  </w:endnote>
  <w:endnote w:type="continuationSeparator" w:id="0">
    <w:p w:rsidR="00E6672C" w:rsidRDefault="00E6672C" w:rsidP="0052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1A" w:rsidRDefault="00523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1A" w:rsidRDefault="00523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1A" w:rsidRDefault="00523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2C" w:rsidRDefault="00E6672C" w:rsidP="0052381A">
      <w:pPr>
        <w:spacing w:after="0" w:line="240" w:lineRule="auto"/>
      </w:pPr>
      <w:r>
        <w:separator/>
      </w:r>
    </w:p>
  </w:footnote>
  <w:footnote w:type="continuationSeparator" w:id="0">
    <w:p w:rsidR="00E6672C" w:rsidRDefault="00E6672C" w:rsidP="00523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1A" w:rsidRDefault="00523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1A" w:rsidRDefault="00523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1A" w:rsidRDefault="00523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EFA"/>
    <w:multiLevelType w:val="hybridMultilevel"/>
    <w:tmpl w:val="322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A353E"/>
    <w:multiLevelType w:val="hybridMultilevel"/>
    <w:tmpl w:val="B7C2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C42B3"/>
    <w:multiLevelType w:val="hybridMultilevel"/>
    <w:tmpl w:val="2A240532"/>
    <w:lvl w:ilvl="0" w:tplc="F1AE48F4">
      <w:numFmt w:val="bullet"/>
      <w:lvlText w:val="·"/>
      <w:lvlJc w:val="left"/>
      <w:pPr>
        <w:ind w:left="795" w:hanging="43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42CB5"/>
    <w:multiLevelType w:val="hybridMultilevel"/>
    <w:tmpl w:val="83EA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D30BC"/>
    <w:multiLevelType w:val="hybridMultilevel"/>
    <w:tmpl w:val="DF4867B2"/>
    <w:lvl w:ilvl="0" w:tplc="79EAAB80">
      <w:numFmt w:val="bullet"/>
      <w:lvlText w:val="·"/>
      <w:lvlJc w:val="left"/>
      <w:pPr>
        <w:ind w:left="795" w:hanging="43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F248F"/>
    <w:multiLevelType w:val="multilevel"/>
    <w:tmpl w:val="7534E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3B2F7B"/>
    <w:multiLevelType w:val="multilevel"/>
    <w:tmpl w:val="D50479FA"/>
    <w:lvl w:ilvl="0">
      <w:start w:val="2"/>
      <w:numFmt w:val="bullet"/>
      <w:lvlText w:val="-"/>
      <w:lvlJc w:val="left"/>
      <w:pPr>
        <w:tabs>
          <w:tab w:val="num" w:pos="720"/>
        </w:tabs>
        <w:ind w:left="720" w:hanging="360"/>
      </w:pPr>
      <w:rPr>
        <w:rFonts w:ascii="Times New Roman" w:eastAsia="Times New Roman" w:hAnsi="Times New Roman" w:hint="default"/>
        <w:u w:val="none"/>
      </w:rPr>
    </w:lvl>
    <w:lvl w:ilvl="1">
      <w:start w:val="1"/>
      <w:numFmt w:val="decimal"/>
      <w:lvlText w:val="%2."/>
      <w:lvlJc w:val="left"/>
      <w:pPr>
        <w:tabs>
          <w:tab w:val="num" w:pos="1440"/>
        </w:tabs>
        <w:ind w:left="1440" w:hanging="360"/>
      </w:pPr>
      <w:rPr>
        <w:b/>
      </w:rPr>
    </w:lvl>
    <w:lvl w:ilvl="2">
      <w:start w:val="2"/>
      <w:numFmt w:val="bullet"/>
      <w:lvlText w:val="-"/>
      <w:lvlJc w:val="left"/>
      <w:pPr>
        <w:ind w:left="2160" w:hanging="360"/>
      </w:pPr>
      <w:rPr>
        <w:rFonts w:ascii="Times New Roman" w:eastAsia="Times New Roman" w:hAnsi="Times New Roman" w:hint="default"/>
        <w:u w:val="none"/>
      </w:rPr>
    </w:lvl>
    <w:lvl w:ilvl="3">
      <w:start w:val="2"/>
      <w:numFmt w:val="bullet"/>
      <w:lvlText w:val="-"/>
      <w:lvlJc w:val="left"/>
      <w:pPr>
        <w:tabs>
          <w:tab w:val="num" w:pos="2880"/>
        </w:tabs>
        <w:ind w:left="2880" w:hanging="360"/>
      </w:pPr>
      <w:rPr>
        <w:rFonts w:ascii="Times New Roman" w:eastAsia="Times New Roman" w:hAnsi="Times New Roman" w:hint="default"/>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4A"/>
    <w:rsid w:val="000448BE"/>
    <w:rsid w:val="000A0DDB"/>
    <w:rsid w:val="000C3653"/>
    <w:rsid w:val="001171A0"/>
    <w:rsid w:val="001327C2"/>
    <w:rsid w:val="00147820"/>
    <w:rsid w:val="00172896"/>
    <w:rsid w:val="00172CB5"/>
    <w:rsid w:val="001B7659"/>
    <w:rsid w:val="001C2BF8"/>
    <w:rsid w:val="002078A3"/>
    <w:rsid w:val="00237720"/>
    <w:rsid w:val="002A357D"/>
    <w:rsid w:val="002A5748"/>
    <w:rsid w:val="002B6B71"/>
    <w:rsid w:val="002D0C4A"/>
    <w:rsid w:val="00321C93"/>
    <w:rsid w:val="00342202"/>
    <w:rsid w:val="00365E70"/>
    <w:rsid w:val="003A1914"/>
    <w:rsid w:val="003D7C4E"/>
    <w:rsid w:val="00474A88"/>
    <w:rsid w:val="0047535B"/>
    <w:rsid w:val="004C45EA"/>
    <w:rsid w:val="004F79E7"/>
    <w:rsid w:val="0050400A"/>
    <w:rsid w:val="005233AA"/>
    <w:rsid w:val="005235C0"/>
    <w:rsid w:val="0052381A"/>
    <w:rsid w:val="0058381A"/>
    <w:rsid w:val="0058508F"/>
    <w:rsid w:val="005874CA"/>
    <w:rsid w:val="005E0BAC"/>
    <w:rsid w:val="005F4355"/>
    <w:rsid w:val="006072CB"/>
    <w:rsid w:val="0060759A"/>
    <w:rsid w:val="0063365F"/>
    <w:rsid w:val="00650D7D"/>
    <w:rsid w:val="00665B23"/>
    <w:rsid w:val="0068247F"/>
    <w:rsid w:val="006963BE"/>
    <w:rsid w:val="006E0222"/>
    <w:rsid w:val="006F4A3E"/>
    <w:rsid w:val="00707688"/>
    <w:rsid w:val="007339B1"/>
    <w:rsid w:val="007957D2"/>
    <w:rsid w:val="007A57D5"/>
    <w:rsid w:val="007C34D0"/>
    <w:rsid w:val="007F0CD3"/>
    <w:rsid w:val="00872BDC"/>
    <w:rsid w:val="00885E73"/>
    <w:rsid w:val="008B61D8"/>
    <w:rsid w:val="009131A4"/>
    <w:rsid w:val="00935B03"/>
    <w:rsid w:val="0095525D"/>
    <w:rsid w:val="00980C7D"/>
    <w:rsid w:val="00986D9C"/>
    <w:rsid w:val="009F023E"/>
    <w:rsid w:val="009F76F0"/>
    <w:rsid w:val="00A54630"/>
    <w:rsid w:val="00A73D5F"/>
    <w:rsid w:val="00A945E8"/>
    <w:rsid w:val="00AB5EF4"/>
    <w:rsid w:val="00AF3AE2"/>
    <w:rsid w:val="00AF7831"/>
    <w:rsid w:val="00B0737B"/>
    <w:rsid w:val="00B673CE"/>
    <w:rsid w:val="00B76708"/>
    <w:rsid w:val="00BA5468"/>
    <w:rsid w:val="00BB7ACC"/>
    <w:rsid w:val="00BC36D2"/>
    <w:rsid w:val="00C179C0"/>
    <w:rsid w:val="00C32FEF"/>
    <w:rsid w:val="00C37707"/>
    <w:rsid w:val="00C92E81"/>
    <w:rsid w:val="00D3131C"/>
    <w:rsid w:val="00D660BE"/>
    <w:rsid w:val="00D77F0A"/>
    <w:rsid w:val="00DA7DE3"/>
    <w:rsid w:val="00DF74B2"/>
    <w:rsid w:val="00DF76B2"/>
    <w:rsid w:val="00E476BE"/>
    <w:rsid w:val="00E51E29"/>
    <w:rsid w:val="00E6672C"/>
    <w:rsid w:val="00EB05BE"/>
    <w:rsid w:val="00EB1BFD"/>
    <w:rsid w:val="00EC32E0"/>
    <w:rsid w:val="00F53028"/>
    <w:rsid w:val="00FE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4A"/>
    <w:rPr>
      <w:rFonts w:ascii="Tahoma" w:hAnsi="Tahoma" w:cs="Tahoma"/>
      <w:sz w:val="16"/>
      <w:szCs w:val="16"/>
    </w:rPr>
  </w:style>
  <w:style w:type="paragraph" w:customStyle="1" w:styleId="Default">
    <w:name w:val="Default"/>
    <w:rsid w:val="002D0C4A"/>
    <w:pPr>
      <w:autoSpaceDE w:val="0"/>
      <w:autoSpaceDN w:val="0"/>
      <w:adjustRightInd w:val="0"/>
      <w:spacing w:after="0" w:line="240" w:lineRule="auto"/>
    </w:pPr>
    <w:rPr>
      <w:rFonts w:ascii="Cambria" w:hAnsi="Cambria" w:cs="Cambria"/>
      <w:color w:val="000000"/>
      <w:sz w:val="24"/>
      <w:szCs w:val="24"/>
    </w:rPr>
  </w:style>
  <w:style w:type="character" w:customStyle="1" w:styleId="normal-text">
    <w:name w:val="normal-text"/>
    <w:basedOn w:val="DefaultParagraphFont"/>
    <w:rsid w:val="00A54630"/>
    <w:rPr>
      <w:rFonts w:cs="Times New Roman"/>
    </w:rPr>
  </w:style>
  <w:style w:type="paragraph" w:styleId="ListParagraph">
    <w:name w:val="List Paragraph"/>
    <w:basedOn w:val="Normal"/>
    <w:uiPriority w:val="34"/>
    <w:qFormat/>
    <w:rsid w:val="00A54630"/>
    <w:pPr>
      <w:ind w:left="720"/>
      <w:contextualSpacing/>
    </w:pPr>
  </w:style>
  <w:style w:type="character" w:styleId="CommentReference">
    <w:name w:val="annotation reference"/>
    <w:basedOn w:val="DefaultParagraphFont"/>
    <w:uiPriority w:val="99"/>
    <w:semiHidden/>
    <w:unhideWhenUsed/>
    <w:rsid w:val="00872BDC"/>
    <w:rPr>
      <w:sz w:val="16"/>
      <w:szCs w:val="16"/>
    </w:rPr>
  </w:style>
  <w:style w:type="paragraph" w:styleId="CommentText">
    <w:name w:val="annotation text"/>
    <w:basedOn w:val="Normal"/>
    <w:link w:val="CommentTextChar"/>
    <w:uiPriority w:val="99"/>
    <w:semiHidden/>
    <w:unhideWhenUsed/>
    <w:rsid w:val="00872BDC"/>
    <w:pPr>
      <w:spacing w:line="240" w:lineRule="auto"/>
    </w:pPr>
    <w:rPr>
      <w:sz w:val="20"/>
      <w:szCs w:val="20"/>
    </w:rPr>
  </w:style>
  <w:style w:type="character" w:customStyle="1" w:styleId="CommentTextChar">
    <w:name w:val="Comment Text Char"/>
    <w:basedOn w:val="DefaultParagraphFont"/>
    <w:link w:val="CommentText"/>
    <w:uiPriority w:val="99"/>
    <w:semiHidden/>
    <w:rsid w:val="00872BDC"/>
    <w:rPr>
      <w:sz w:val="20"/>
      <w:szCs w:val="20"/>
    </w:rPr>
  </w:style>
  <w:style w:type="paragraph" w:styleId="CommentSubject">
    <w:name w:val="annotation subject"/>
    <w:basedOn w:val="CommentText"/>
    <w:next w:val="CommentText"/>
    <w:link w:val="CommentSubjectChar"/>
    <w:uiPriority w:val="99"/>
    <w:semiHidden/>
    <w:unhideWhenUsed/>
    <w:rsid w:val="00872BDC"/>
    <w:rPr>
      <w:b/>
      <w:bCs/>
    </w:rPr>
  </w:style>
  <w:style w:type="character" w:customStyle="1" w:styleId="CommentSubjectChar">
    <w:name w:val="Comment Subject Char"/>
    <w:basedOn w:val="CommentTextChar"/>
    <w:link w:val="CommentSubject"/>
    <w:uiPriority w:val="99"/>
    <w:semiHidden/>
    <w:rsid w:val="00872BDC"/>
    <w:rPr>
      <w:b/>
      <w:bCs/>
      <w:sz w:val="20"/>
      <w:szCs w:val="20"/>
    </w:rPr>
  </w:style>
  <w:style w:type="paragraph" w:styleId="Header">
    <w:name w:val="header"/>
    <w:basedOn w:val="Normal"/>
    <w:link w:val="HeaderChar"/>
    <w:uiPriority w:val="99"/>
    <w:semiHidden/>
    <w:unhideWhenUsed/>
    <w:rsid w:val="005238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81A"/>
  </w:style>
  <w:style w:type="paragraph" w:styleId="Footer">
    <w:name w:val="footer"/>
    <w:basedOn w:val="Normal"/>
    <w:link w:val="FooterChar"/>
    <w:uiPriority w:val="99"/>
    <w:semiHidden/>
    <w:unhideWhenUsed/>
    <w:rsid w:val="005238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81A"/>
  </w:style>
  <w:style w:type="paragraph" w:styleId="NormalWeb">
    <w:name w:val="Normal (Web)"/>
    <w:basedOn w:val="Normal"/>
    <w:rsid w:val="001B7659"/>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internalhead">
    <w:name w:val="internalhead"/>
    <w:basedOn w:val="DefaultParagraphFont"/>
    <w:rsid w:val="001B7659"/>
    <w:rPr>
      <w:rFonts w:cs="Times New Roman"/>
    </w:rPr>
  </w:style>
  <w:style w:type="paragraph" w:customStyle="1" w:styleId="normal-text1">
    <w:name w:val="normal-text1"/>
    <w:basedOn w:val="Normal"/>
    <w:rsid w:val="001B7659"/>
    <w:pPr>
      <w:spacing w:before="100" w:beforeAutospacing="1" w:after="100" w:afterAutospacing="1" w:line="240" w:lineRule="auto"/>
    </w:pPr>
    <w:rPr>
      <w:rFonts w:ascii="Times New Roman" w:eastAsia="Times New Roman" w:hAnsi="Times New Roman" w:cs="Times New Roman"/>
      <w:sz w:val="24"/>
      <w:szCs w:val="24"/>
      <w:lang w:bidi="en-US"/>
    </w:rPr>
  </w:style>
  <w:style w:type="character" w:styleId="Strong">
    <w:name w:val="Strong"/>
    <w:basedOn w:val="DefaultParagraphFont"/>
    <w:qFormat/>
    <w:rsid w:val="001B7659"/>
    <w:rPr>
      <w:rFonts w:cs="Times New Roman"/>
      <w:b/>
      <w:bCs/>
    </w:rPr>
  </w:style>
  <w:style w:type="character" w:styleId="Hyperlink">
    <w:name w:val="Hyperlink"/>
    <w:basedOn w:val="DefaultParagraphFont"/>
    <w:uiPriority w:val="99"/>
    <w:unhideWhenUsed/>
    <w:rsid w:val="001B7659"/>
    <w:rPr>
      <w:color w:val="0000FF" w:themeColor="hyperlink"/>
      <w:u w:val="single"/>
    </w:rPr>
  </w:style>
  <w:style w:type="paragraph" w:customStyle="1" w:styleId="Body1">
    <w:name w:val="Body 1"/>
    <w:rsid w:val="000A0DDB"/>
    <w:pPr>
      <w:outlineLvl w:val="0"/>
    </w:pPr>
    <w:rPr>
      <w:rFonts w:ascii="Helvetica" w:eastAsia="Arial Unicode MS" w:hAnsi="Helvetica" w:cs="Times New Roman"/>
      <w:color w:val="00000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4A"/>
    <w:rPr>
      <w:rFonts w:ascii="Tahoma" w:hAnsi="Tahoma" w:cs="Tahoma"/>
      <w:sz w:val="16"/>
      <w:szCs w:val="16"/>
    </w:rPr>
  </w:style>
  <w:style w:type="paragraph" w:customStyle="1" w:styleId="Default">
    <w:name w:val="Default"/>
    <w:rsid w:val="002D0C4A"/>
    <w:pPr>
      <w:autoSpaceDE w:val="0"/>
      <w:autoSpaceDN w:val="0"/>
      <w:adjustRightInd w:val="0"/>
      <w:spacing w:after="0" w:line="240" w:lineRule="auto"/>
    </w:pPr>
    <w:rPr>
      <w:rFonts w:ascii="Cambria" w:hAnsi="Cambria" w:cs="Cambria"/>
      <w:color w:val="000000"/>
      <w:sz w:val="24"/>
      <w:szCs w:val="24"/>
    </w:rPr>
  </w:style>
  <w:style w:type="character" w:customStyle="1" w:styleId="normal-text">
    <w:name w:val="normal-text"/>
    <w:basedOn w:val="DefaultParagraphFont"/>
    <w:rsid w:val="00A54630"/>
    <w:rPr>
      <w:rFonts w:cs="Times New Roman"/>
    </w:rPr>
  </w:style>
  <w:style w:type="paragraph" w:styleId="ListParagraph">
    <w:name w:val="List Paragraph"/>
    <w:basedOn w:val="Normal"/>
    <w:uiPriority w:val="34"/>
    <w:qFormat/>
    <w:rsid w:val="00A54630"/>
    <w:pPr>
      <w:ind w:left="720"/>
      <w:contextualSpacing/>
    </w:pPr>
  </w:style>
  <w:style w:type="character" w:styleId="CommentReference">
    <w:name w:val="annotation reference"/>
    <w:basedOn w:val="DefaultParagraphFont"/>
    <w:uiPriority w:val="99"/>
    <w:semiHidden/>
    <w:unhideWhenUsed/>
    <w:rsid w:val="00872BDC"/>
    <w:rPr>
      <w:sz w:val="16"/>
      <w:szCs w:val="16"/>
    </w:rPr>
  </w:style>
  <w:style w:type="paragraph" w:styleId="CommentText">
    <w:name w:val="annotation text"/>
    <w:basedOn w:val="Normal"/>
    <w:link w:val="CommentTextChar"/>
    <w:uiPriority w:val="99"/>
    <w:semiHidden/>
    <w:unhideWhenUsed/>
    <w:rsid w:val="00872BDC"/>
    <w:pPr>
      <w:spacing w:line="240" w:lineRule="auto"/>
    </w:pPr>
    <w:rPr>
      <w:sz w:val="20"/>
      <w:szCs w:val="20"/>
    </w:rPr>
  </w:style>
  <w:style w:type="character" w:customStyle="1" w:styleId="CommentTextChar">
    <w:name w:val="Comment Text Char"/>
    <w:basedOn w:val="DefaultParagraphFont"/>
    <w:link w:val="CommentText"/>
    <w:uiPriority w:val="99"/>
    <w:semiHidden/>
    <w:rsid w:val="00872BDC"/>
    <w:rPr>
      <w:sz w:val="20"/>
      <w:szCs w:val="20"/>
    </w:rPr>
  </w:style>
  <w:style w:type="paragraph" w:styleId="CommentSubject">
    <w:name w:val="annotation subject"/>
    <w:basedOn w:val="CommentText"/>
    <w:next w:val="CommentText"/>
    <w:link w:val="CommentSubjectChar"/>
    <w:uiPriority w:val="99"/>
    <w:semiHidden/>
    <w:unhideWhenUsed/>
    <w:rsid w:val="00872BDC"/>
    <w:rPr>
      <w:b/>
      <w:bCs/>
    </w:rPr>
  </w:style>
  <w:style w:type="character" w:customStyle="1" w:styleId="CommentSubjectChar">
    <w:name w:val="Comment Subject Char"/>
    <w:basedOn w:val="CommentTextChar"/>
    <w:link w:val="CommentSubject"/>
    <w:uiPriority w:val="99"/>
    <w:semiHidden/>
    <w:rsid w:val="00872BDC"/>
    <w:rPr>
      <w:b/>
      <w:bCs/>
      <w:sz w:val="20"/>
      <w:szCs w:val="20"/>
    </w:rPr>
  </w:style>
  <w:style w:type="paragraph" w:styleId="Header">
    <w:name w:val="header"/>
    <w:basedOn w:val="Normal"/>
    <w:link w:val="HeaderChar"/>
    <w:uiPriority w:val="99"/>
    <w:semiHidden/>
    <w:unhideWhenUsed/>
    <w:rsid w:val="005238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81A"/>
  </w:style>
  <w:style w:type="paragraph" w:styleId="Footer">
    <w:name w:val="footer"/>
    <w:basedOn w:val="Normal"/>
    <w:link w:val="FooterChar"/>
    <w:uiPriority w:val="99"/>
    <w:semiHidden/>
    <w:unhideWhenUsed/>
    <w:rsid w:val="005238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81A"/>
  </w:style>
  <w:style w:type="paragraph" w:styleId="NormalWeb">
    <w:name w:val="Normal (Web)"/>
    <w:basedOn w:val="Normal"/>
    <w:rsid w:val="001B7659"/>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internalhead">
    <w:name w:val="internalhead"/>
    <w:basedOn w:val="DefaultParagraphFont"/>
    <w:rsid w:val="001B7659"/>
    <w:rPr>
      <w:rFonts w:cs="Times New Roman"/>
    </w:rPr>
  </w:style>
  <w:style w:type="paragraph" w:customStyle="1" w:styleId="normal-text1">
    <w:name w:val="normal-text1"/>
    <w:basedOn w:val="Normal"/>
    <w:rsid w:val="001B7659"/>
    <w:pPr>
      <w:spacing w:before="100" w:beforeAutospacing="1" w:after="100" w:afterAutospacing="1" w:line="240" w:lineRule="auto"/>
    </w:pPr>
    <w:rPr>
      <w:rFonts w:ascii="Times New Roman" w:eastAsia="Times New Roman" w:hAnsi="Times New Roman" w:cs="Times New Roman"/>
      <w:sz w:val="24"/>
      <w:szCs w:val="24"/>
      <w:lang w:bidi="en-US"/>
    </w:rPr>
  </w:style>
  <w:style w:type="character" w:styleId="Strong">
    <w:name w:val="Strong"/>
    <w:basedOn w:val="DefaultParagraphFont"/>
    <w:qFormat/>
    <w:rsid w:val="001B7659"/>
    <w:rPr>
      <w:rFonts w:cs="Times New Roman"/>
      <w:b/>
      <w:bCs/>
    </w:rPr>
  </w:style>
  <w:style w:type="character" w:styleId="Hyperlink">
    <w:name w:val="Hyperlink"/>
    <w:basedOn w:val="DefaultParagraphFont"/>
    <w:uiPriority w:val="99"/>
    <w:unhideWhenUsed/>
    <w:rsid w:val="001B7659"/>
    <w:rPr>
      <w:color w:val="0000FF" w:themeColor="hyperlink"/>
      <w:u w:val="single"/>
    </w:rPr>
  </w:style>
  <w:style w:type="paragraph" w:customStyle="1" w:styleId="Body1">
    <w:name w:val="Body 1"/>
    <w:rsid w:val="000A0DDB"/>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aarder@nexuscp.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agetc.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gaarder@nexuscp.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07DCC-9DF9-48F7-B4F3-4D750DB7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mkaplan</dc:creator>
  <cp:lastModifiedBy>Egaarder</cp:lastModifiedBy>
  <cp:revision>6</cp:revision>
  <cp:lastPrinted>2011-06-29T17:30:00Z</cp:lastPrinted>
  <dcterms:created xsi:type="dcterms:W3CDTF">2013-10-09T19:39:00Z</dcterms:created>
  <dcterms:modified xsi:type="dcterms:W3CDTF">2013-10-15T16:26:00Z</dcterms:modified>
</cp:coreProperties>
</file>